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52.00000000000003" w:lineRule="auto"/>
        <w:rPr>
          <w:rFonts w:ascii="Roche Sans" w:cs="Roche Sans" w:eastAsia="Roche Sans" w:hAnsi="Roche Sans"/>
          <w:b w:val="1"/>
          <w:bCs w:val="1"/>
          <w:sz w:val="28"/>
          <w:szCs w:val="28"/>
        </w:rPr>
      </w:pPr>
      <w:r w:rsidDel="00000000" w:rsidR="00000000" w:rsidRPr="00000000">
        <w:rPr>
          <w:rFonts w:ascii="Roche Sans" w:cs="Roche Sans" w:eastAsia="Roche Sans" w:hAnsi="Roche Sans"/>
          <w:b w:val="1"/>
          <w:bCs w:val="1"/>
          <w:sz w:val="28"/>
          <w:szCs w:val="28"/>
          <w:rtl w:val="0"/>
        </w:rPr>
        <w:t xml:space="preserve">Roche receives FDA approval for companion diagnostic tests to identify patients with HER2-positive, metastatic gastroesophageal adenocarcinoma eligible for ZIIHERA</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2.00000000000003" w:lineRule="auto"/>
        <w:ind w:left="720" w:right="0" w:hanging="360"/>
        <w:jc w:val="left"/>
        <w:rPr>
          <w:rFonts w:ascii="Roche Sans" w:cs="Roche Sans" w:eastAsia="Roche Sans" w:hAnsi="Roche Sans"/>
          <w:b w:val="1"/>
          <w:bCs w:val="1"/>
        </w:rPr>
      </w:pPr>
      <w:r w:rsidDel="00000000" w:rsidR="00000000" w:rsidRPr="00000000">
        <w:rPr>
          <w:rFonts w:ascii="Roche Sans" w:cs="Roche Sans" w:eastAsia="Roche Sans" w:hAnsi="Roche Sans"/>
          <w:b w:val="1"/>
          <w:bCs w:val="1"/>
          <w:rtl w:val="0"/>
        </w:rPr>
        <w:t xml:space="preserve">The PATHWAY HER2 (4B5) test and VENTANA</w:t>
      </w:r>
      <w:r w:rsidDel="00000000" w:rsidR="00000000" w:rsidRPr="00000000">
        <w:rPr>
          <w:rFonts w:ascii="Roche Sans" w:cs="Roche Sans" w:eastAsia="Roche Sans" w:hAnsi="Roche Sans"/>
          <w:rtl w:val="0"/>
        </w:rPr>
        <w:t xml:space="preserve">®</w:t>
      </w:r>
      <w:r w:rsidDel="00000000" w:rsidR="00000000" w:rsidRPr="00000000">
        <w:rPr>
          <w:rFonts w:ascii="Roche Sans" w:cs="Roche Sans" w:eastAsia="Roche Sans" w:hAnsi="Roche Sans"/>
          <w:b w:val="1"/>
          <w:bCs w:val="1"/>
          <w:rtl w:val="0"/>
        </w:rPr>
        <w:t xml:space="preserve"> HER2 Dual ISH DNA Probe Cocktail help identify HER2-positive, metastatic gastric, gastroesophageal junction and esophageal adenocarcinoma.</w:t>
      </w:r>
    </w:p>
    <w:p w:rsidR="00000000" w:rsidDel="00000000" w:rsidP="00000000" w:rsidRDefault="00000000" w:rsidRPr="00000000" w14:paraId="00000003">
      <w:pPr>
        <w:numPr>
          <w:ilvl w:val="0"/>
          <w:numId w:val="1"/>
        </w:numPr>
        <w:spacing w:after="200" w:line="252.00000000000003" w:lineRule="auto"/>
        <w:ind w:left="720" w:hanging="360"/>
        <w:rPr>
          <w:rFonts w:ascii="Roche Sans" w:cs="Roche Sans" w:eastAsia="Roche Sans" w:hAnsi="Roche Sans"/>
          <w:b w:val="1"/>
          <w:bCs w:val="1"/>
        </w:rPr>
      </w:pPr>
      <w:r w:rsidDel="00000000" w:rsidR="00000000" w:rsidRPr="00000000">
        <w:rPr>
          <w:rFonts w:ascii="Roche Sans" w:cs="Roche Sans" w:eastAsia="Roche Sans" w:hAnsi="Roche Sans"/>
          <w:b w:val="1"/>
          <w:bCs w:val="1"/>
          <w:rtl w:val="0"/>
        </w:rPr>
        <w:t xml:space="preserve">Differential diagnosis of these cancers, often aggressive and diagnosed at an advanced stage, is critical to improving patient outcomes.</w:t>
      </w:r>
    </w:p>
    <w:p w:rsidR="00000000" w:rsidDel="00000000" w:rsidP="00000000" w:rsidRDefault="00000000" w:rsidRPr="00000000" w14:paraId="00000004">
      <w:pPr>
        <w:numPr>
          <w:ilvl w:val="0"/>
          <w:numId w:val="1"/>
        </w:numPr>
        <w:spacing w:after="200" w:line="252.00000000000003" w:lineRule="auto"/>
        <w:ind w:left="720" w:hanging="360"/>
        <w:rPr>
          <w:rFonts w:ascii="Roche Sans" w:cs="Roche Sans" w:eastAsia="Roche Sans" w:hAnsi="Roche Sans"/>
          <w:b w:val="1"/>
          <w:bCs w:val="1"/>
        </w:rPr>
      </w:pPr>
      <w:r w:rsidDel="00000000" w:rsidR="00000000" w:rsidRPr="00000000">
        <w:rPr>
          <w:rFonts w:ascii="Roche Sans" w:cs="Roche Sans" w:eastAsia="Roche Sans" w:hAnsi="Roche Sans"/>
          <w:b w:val="1"/>
          <w:bCs w:val="1"/>
          <w:rtl w:val="0"/>
        </w:rPr>
        <w:t xml:space="preserve">Together, the tests enable precise assessment of HER2-positive status to help identify patients eligible for treatment with ZIIHERA.</w:t>
      </w:r>
    </w:p>
    <w:p w:rsidR="00000000" w:rsidDel="00000000" w:rsidP="00000000" w:rsidRDefault="00000000" w:rsidRPr="00000000" w14:paraId="00000005">
      <w:pPr>
        <w:spacing w:after="200" w:line="252.00000000000003" w:lineRule="auto"/>
        <w:rPr>
          <w:rFonts w:ascii="Roche Sans" w:cs="Roche Sans" w:eastAsia="Roche Sans" w:hAnsi="Roche Sans"/>
        </w:rPr>
      </w:pPr>
      <w:bookmarkStart w:colFirst="0" w:colLast="0" w:name="_heading=h.m9ytojegpp04" w:id="0"/>
      <w:bookmarkEnd w:id="0"/>
      <w:r w:rsidDel="00000000" w:rsidR="00000000" w:rsidRPr="00000000">
        <w:rPr>
          <w:rFonts w:ascii="Roche Sans" w:cs="Roche Sans" w:eastAsia="Roche Sans" w:hAnsi="Roche Sans"/>
          <w:rtl w:val="0"/>
        </w:rPr>
        <w:t xml:space="preserve">TUCSON, Ariz., August 26, 2026 – Roche (SIX: RO, ROG; OTCQX: RHHBY) announced today that it has received approval from the U.S. Food and Drug Administration (FDA) for expanded use of its PATHWAY® HER2 (4B5) and VENTANA® HER2 Dual ISH DNA Probe Cocktail tests. These companion diagnostics are now approved to assess HER2-positive status in metastatic gastroesophageal adenocarcinoma (GEA) patients, including those with gastric, gastroesophageal junction and esophageal adenocarcinoma. The approval enables clinicians to identify HER2-positive GEA patients who may be eligible for HER2-targeted treatment with Jazz Pharmaceuticals’ ZIIHERA® (zanidatamab-hrii). Two ZIIHERA-containing regimens are now FDA approved for the first-line treatment of adults with unresectable locally advanced or metastatic HER2-positive GEA. </w:t>
      </w:r>
    </w:p>
    <w:p w:rsidR="00000000" w:rsidDel="00000000" w:rsidP="00000000" w:rsidRDefault="00000000" w:rsidRPr="00000000" w14:paraId="00000006">
      <w:pPr>
        <w:spacing w:after="200" w:before="0" w:line="252.00000000000003" w:lineRule="auto"/>
        <w:rPr>
          <w:rFonts w:ascii="Roche Sans" w:cs="Roche Sans" w:eastAsia="Roche Sans" w:hAnsi="Roche Sans"/>
        </w:rPr>
      </w:pPr>
      <w:bookmarkStart w:colFirst="0" w:colLast="0" w:name="_heading=h.ef95qqsowiem" w:id="1"/>
      <w:bookmarkEnd w:id="1"/>
      <w:r w:rsidDel="00000000" w:rsidR="00000000" w:rsidRPr="00000000">
        <w:rPr>
          <w:rFonts w:ascii="Roche Sans" w:cs="Roche Sans" w:eastAsia="Roche Sans" w:hAnsi="Roche Sans"/>
          <w:rtl w:val="0"/>
        </w:rPr>
        <w:t xml:space="preserve">Gastroesophageal adenocarcinoma encompasses a group of related cancers originating in the gastrointestinal tract, including gastric and esophageal cancer. These closely related, aggressive cancers are typically diagnosed at a later stage</w:t>
      </w:r>
      <w:r w:rsidDel="00000000" w:rsidR="00000000" w:rsidRPr="00000000">
        <w:rPr>
          <w:rFonts w:ascii="Roche Sans" w:cs="Roche Sans" w:eastAsia="Roche Sans" w:hAnsi="Roche Sans"/>
          <w:vertAlign w:val="superscript"/>
          <w:rtl w:val="0"/>
        </w:rPr>
        <w:t xml:space="preserve">1,2</w:t>
      </w:r>
      <w:r w:rsidDel="00000000" w:rsidR="00000000" w:rsidRPr="00000000">
        <w:rPr>
          <w:rFonts w:ascii="Roche Sans" w:cs="Roche Sans" w:eastAsia="Roche Sans" w:hAnsi="Roche Sans"/>
          <w:rtl w:val="0"/>
        </w:rPr>
        <w:t xml:space="preserve"> and are the fifth (gastric) and sixth (esophageal) leading causes of cancer deaths worldwide.</w:t>
      </w:r>
      <w:r w:rsidDel="00000000" w:rsidR="00000000" w:rsidRPr="00000000">
        <w:rPr>
          <w:rFonts w:ascii="Roche Sans" w:cs="Roche Sans" w:eastAsia="Roche Sans" w:hAnsi="Roche Sans"/>
          <w:vertAlign w:val="superscript"/>
          <w:rtl w:val="0"/>
        </w:rPr>
        <w:t xml:space="preserve">3</w:t>
      </w:r>
      <w:r w:rsidDel="00000000" w:rsidR="00000000" w:rsidRPr="00000000">
        <w:rPr>
          <w:rFonts w:ascii="Roche Sans" w:cs="Roche Sans" w:eastAsia="Roche Sans" w:hAnsi="Roche Sans"/>
          <w:rtl w:val="0"/>
        </w:rPr>
        <w:t xml:space="preserve"> Despite advances in diagnosis and treatment, the prognosis for these cancers remains poor, with limited therapeutic options available.</w:t>
      </w:r>
      <w:r w:rsidDel="00000000" w:rsidR="00000000" w:rsidRPr="00000000">
        <w:rPr>
          <w:rFonts w:ascii="Roche Sans" w:cs="Roche Sans" w:eastAsia="Roche Sans" w:hAnsi="Roche Sans"/>
          <w:vertAlign w:val="superscript"/>
          <w:rtl w:val="0"/>
        </w:rPr>
        <w:t xml:space="preserve">4,5</w:t>
      </w:r>
      <w:r w:rsidDel="00000000" w:rsidR="00000000" w:rsidRPr="00000000">
        <w:rPr>
          <w:rFonts w:ascii="Roche Sans" w:cs="Roche Sans" w:eastAsia="Roche Sans" w:hAnsi="Roche Sans"/>
          <w:rtl w:val="0"/>
        </w:rPr>
        <w:t xml:space="preserve"> </w:t>
      </w:r>
    </w:p>
    <w:p w:rsidR="00000000" w:rsidDel="00000000" w:rsidP="00000000" w:rsidRDefault="00000000" w:rsidRPr="00000000" w14:paraId="00000007">
      <w:pPr>
        <w:spacing w:after="200" w:before="0" w:line="252.00000000000003" w:lineRule="auto"/>
        <w:rPr>
          <w:rFonts w:ascii="Roche Sans" w:cs="Roche Sans" w:eastAsia="Roche Sans" w:hAnsi="Roche Sans"/>
        </w:rPr>
      </w:pPr>
      <w:bookmarkStart w:colFirst="0" w:colLast="0" w:name="_heading=h.pjmrfqdyky5" w:id="2"/>
      <w:bookmarkEnd w:id="2"/>
      <w:r w:rsidDel="00000000" w:rsidR="00000000" w:rsidRPr="00000000">
        <w:rPr>
          <w:rFonts w:ascii="Roche Sans" w:cs="Roche Sans" w:eastAsia="Roche Sans" w:hAnsi="Roche Sans"/>
          <w:rtl w:val="0"/>
        </w:rPr>
        <w:t xml:space="preserve">“GEA can be a difficult diagnosis for patients to face, with most cases only being detected once the disease has progressed to an advanced stage,” said Laura Apitz, Head of Pathology Lab at Roche Diagnostics. "By adding GEA to the approved indications for our widely-available HER2 assay, we expand the patient population eligible for targeted therapy and potentially improve patient outcomes." </w:t>
      </w:r>
    </w:p>
    <w:p w:rsidR="00000000" w:rsidDel="00000000" w:rsidP="00000000" w:rsidRDefault="00000000" w:rsidRPr="00000000" w14:paraId="00000008">
      <w:pPr>
        <w:spacing w:after="200" w:before="0" w:line="252.00000000000003" w:lineRule="auto"/>
        <w:rPr>
          <w:rFonts w:ascii="Roche Sans" w:cs="Roche Sans" w:eastAsia="Roche Sans" w:hAnsi="Roche Sans"/>
          <w:b w:val="1"/>
          <w:bCs w:val="1"/>
          <w:color w:val="0b41cd"/>
        </w:rPr>
      </w:pPr>
      <w:r w:rsidDel="00000000" w:rsidR="00000000" w:rsidRPr="00000000">
        <w:rPr>
          <w:rFonts w:ascii="Roche Sans" w:cs="Roche Sans" w:eastAsia="Roche Sans" w:hAnsi="Roche Sans"/>
          <w:rtl w:val="0"/>
        </w:rPr>
        <w:t xml:space="preserve">This FDA approval broadens the population of patients eligible for HER2-targeted therapies to include those with HER2-positive GEA.</w:t>
      </w:r>
      <w:r w:rsidDel="00000000" w:rsidR="00000000" w:rsidRPr="00000000">
        <w:rPr>
          <w:rFonts w:ascii="Roche Sans" w:cs="Roche Sans" w:eastAsia="Roche Sans" w:hAnsi="Roche Sans"/>
          <w:vertAlign w:val="superscript"/>
          <w:rtl w:val="0"/>
        </w:rPr>
        <w:t xml:space="preserve">6</w:t>
      </w:r>
      <w:r w:rsidDel="00000000" w:rsidR="00000000" w:rsidRPr="00000000">
        <w:rPr>
          <w:rFonts w:ascii="Roche Sans" w:cs="Roche Sans" w:eastAsia="Roche Sans" w:hAnsi="Roche Sans"/>
          <w:rtl w:val="0"/>
        </w:rPr>
        <w:t xml:space="preserve"> Until now, no tests had been approved to determine HER2 status in esophageal cancer, meaning patients were unable to access targeted therapy. Already widely used and trusted in breast and gastric cancers, these tests are an important step forward in providing access to new treatment options for this hard-to-treat disease.</w:t>
      </w:r>
      <w:r w:rsidDel="00000000" w:rsidR="00000000" w:rsidRPr="00000000">
        <w:rPr>
          <w:rtl w:val="0"/>
        </w:rPr>
      </w:r>
    </w:p>
    <w:p w:rsidR="00000000" w:rsidDel="00000000" w:rsidP="00000000" w:rsidRDefault="00000000" w:rsidRPr="00000000" w14:paraId="00000009">
      <w:pPr>
        <w:spacing w:line="240" w:lineRule="auto"/>
        <w:rPr>
          <w:rFonts w:ascii="Roche Sans" w:cs="Roche Sans" w:eastAsia="Roche Sans" w:hAnsi="Roche Sans"/>
        </w:rPr>
      </w:pPr>
      <w:r w:rsidDel="00000000" w:rsidR="00000000" w:rsidRPr="00000000">
        <w:rPr>
          <w:rFonts w:ascii="Roche Sans" w:cs="Roche Sans" w:eastAsia="Roche Sans" w:hAnsi="Roche Sans"/>
          <w:b w:val="1"/>
          <w:bCs w:val="1"/>
          <w:color w:val="0b41cd"/>
          <w:rtl w:val="0"/>
        </w:rPr>
        <w:br w:type="textWrapping"/>
        <w:t xml:space="preserve">About the PATHWAY HER2 (4B5) test and VENTANA HER2 Dual ISH DNA Probe Cocktail  </w:t>
      </w:r>
      <w:r w:rsidDel="00000000" w:rsidR="00000000" w:rsidRPr="00000000">
        <w:rPr>
          <w:rtl w:val="0"/>
        </w:rPr>
      </w:r>
    </w:p>
    <w:p w:rsidR="00000000" w:rsidDel="00000000" w:rsidP="00000000" w:rsidRDefault="00000000" w:rsidRPr="00000000" w14:paraId="0000000A">
      <w:pPr>
        <w:spacing w:line="240" w:lineRule="auto"/>
        <w:rPr>
          <w:rFonts w:ascii="Roche Sans" w:cs="Roche Sans" w:eastAsia="Roche Sans" w:hAnsi="Roche Sans"/>
        </w:rPr>
      </w:pPr>
      <w:r w:rsidDel="00000000" w:rsidR="00000000" w:rsidRPr="00000000">
        <w:rPr>
          <w:rFonts w:ascii="Roche Sans" w:cs="Roche Sans" w:eastAsia="Roche Sans" w:hAnsi="Roche Sans"/>
          <w:rtl w:val="0"/>
        </w:rPr>
        <w:t xml:space="preserve">The PATHWAY® HER2 (4B5) Rabbit Monoclonal Primary Antibody test and VENTANA® HER2 Dual ISH DNA Probe Cocktail work together to assess HER2 status, delivering diagnostic precision and enabling timely therapeutic decisions for patients with HER2-positive cancers. Together, these tests provide labs and pathologists with reliable, actionable insights to support personalized treatment approaches.</w:t>
      </w:r>
    </w:p>
    <w:p w:rsidR="00000000" w:rsidDel="00000000" w:rsidP="00000000" w:rsidRDefault="00000000" w:rsidRPr="00000000" w14:paraId="0000000B">
      <w:pPr>
        <w:spacing w:line="240" w:lineRule="auto"/>
        <w:rPr>
          <w:rFonts w:ascii="Roche Sans" w:cs="Roche Sans" w:eastAsia="Roche Sans" w:hAnsi="Roche Sans"/>
        </w:rPr>
      </w:pPr>
      <w:r w:rsidDel="00000000" w:rsidR="00000000" w:rsidRPr="00000000">
        <w:rPr>
          <w:rtl w:val="0"/>
        </w:rPr>
      </w:r>
    </w:p>
    <w:p w:rsidR="00000000" w:rsidDel="00000000" w:rsidP="00000000" w:rsidRDefault="00000000" w:rsidRPr="00000000" w14:paraId="0000000C">
      <w:pPr>
        <w:spacing w:line="240" w:lineRule="auto"/>
        <w:rPr>
          <w:rFonts w:ascii="Roche Sans" w:cs="Roche Sans" w:eastAsia="Roche Sans" w:hAnsi="Roche Sans"/>
        </w:rPr>
      </w:pPr>
      <w:r w:rsidDel="00000000" w:rsidR="00000000" w:rsidRPr="00000000">
        <w:rPr>
          <w:rFonts w:ascii="Roche Sans" w:cs="Roche Sans" w:eastAsia="Roche Sans" w:hAnsi="Roche Sans"/>
          <w:rtl w:val="0"/>
        </w:rPr>
        <w:t xml:space="preserve">The PATHWAY® HER2 (4B5) test is the most widely adopted HER2-immunohistochemistry (IHC) primary antibody globally,</w:t>
      </w:r>
      <w:r w:rsidDel="00000000" w:rsidR="00000000" w:rsidRPr="00000000">
        <w:rPr>
          <w:rFonts w:ascii="Roche Sans" w:cs="Roche Sans" w:eastAsia="Roche Sans" w:hAnsi="Roche Sans"/>
          <w:vertAlign w:val="superscript"/>
          <w:rtl w:val="0"/>
        </w:rPr>
        <w:t xml:space="preserve">7</w:t>
      </w:r>
      <w:r w:rsidDel="00000000" w:rsidR="00000000" w:rsidRPr="00000000">
        <w:rPr>
          <w:rFonts w:ascii="Roche Sans" w:cs="Roche Sans" w:eastAsia="Roche Sans" w:hAnsi="Roche Sans"/>
          <w:rtl w:val="0"/>
        </w:rPr>
        <w:t xml:space="preserve"> achieving consistently high proficiency-assessment scores</w:t>
      </w:r>
      <w:r w:rsidDel="00000000" w:rsidR="00000000" w:rsidRPr="00000000">
        <w:rPr>
          <w:rFonts w:ascii="Roche Sans" w:cs="Roche Sans" w:eastAsia="Roche Sans" w:hAnsi="Roche Sans"/>
          <w:vertAlign w:val="superscript"/>
          <w:rtl w:val="0"/>
        </w:rPr>
        <w:t xml:space="preserve">7</w:t>
      </w:r>
      <w:r w:rsidDel="00000000" w:rsidR="00000000" w:rsidRPr="00000000">
        <w:rPr>
          <w:rFonts w:ascii="Roche Sans" w:cs="Roche Sans" w:eastAsia="Roche Sans" w:hAnsi="Roche Sans"/>
          <w:rtl w:val="0"/>
        </w:rPr>
        <w:t xml:space="preserve"> and demonstrating high concordance with HER2 FISH testing.</w:t>
      </w:r>
      <w:r w:rsidDel="00000000" w:rsidR="00000000" w:rsidRPr="00000000">
        <w:rPr>
          <w:rFonts w:ascii="Roche Sans" w:cs="Roche Sans" w:eastAsia="Roche Sans" w:hAnsi="Roche Sans"/>
          <w:vertAlign w:val="superscript"/>
          <w:rtl w:val="0"/>
        </w:rPr>
        <w:t xml:space="preserve">8,9</w:t>
      </w:r>
      <w:r w:rsidDel="00000000" w:rsidR="00000000" w:rsidRPr="00000000">
        <w:rPr>
          <w:rFonts w:ascii="Roche Sans" w:cs="Roche Sans" w:eastAsia="Roche Sans" w:hAnsi="Roche Sans"/>
          <w:rtl w:val="0"/>
        </w:rPr>
        <w:t xml:space="preserve"> Its design ensures accuracy and reproducibility, with integration into the fully automated VENTANA BenchMark platform to minimize variability and reduce manual steps across all IHC processes.</w:t>
      </w:r>
    </w:p>
    <w:p w:rsidR="00000000" w:rsidDel="00000000" w:rsidP="00000000" w:rsidRDefault="00000000" w:rsidRPr="00000000" w14:paraId="0000000D">
      <w:pPr>
        <w:spacing w:line="240" w:lineRule="auto"/>
        <w:rPr>
          <w:rFonts w:ascii="Roche Sans" w:cs="Roche Sans" w:eastAsia="Roche Sans" w:hAnsi="Roche Sans"/>
        </w:rPr>
      </w:pPr>
      <w:r w:rsidDel="00000000" w:rsidR="00000000" w:rsidRPr="00000000">
        <w:rPr>
          <w:rtl w:val="0"/>
        </w:rPr>
      </w:r>
    </w:p>
    <w:p w:rsidR="00000000" w:rsidDel="00000000" w:rsidP="00000000" w:rsidRDefault="00000000" w:rsidRPr="00000000" w14:paraId="0000000E">
      <w:pPr>
        <w:spacing w:line="240" w:lineRule="auto"/>
        <w:rPr>
          <w:rFonts w:ascii="Roche Sans" w:cs="Roche Sans" w:eastAsia="Roche Sans" w:hAnsi="Roche Sans"/>
        </w:rPr>
      </w:pPr>
      <w:r w:rsidDel="00000000" w:rsidR="00000000" w:rsidRPr="00000000">
        <w:rPr>
          <w:rFonts w:ascii="Roche Sans" w:cs="Roche Sans" w:eastAsia="Roche Sans" w:hAnsi="Roche Sans"/>
          <w:rtl w:val="0"/>
        </w:rPr>
        <w:t xml:space="preserve">The VENTANA® HER2 Dual ISH DNA Probe Cocktail enables the advanced detection of HER2 gene amplification. With its dual-color technology, pathologists can easily compare HER2 status with H&amp;E and other GI panel markers within the same case,</w:t>
      </w:r>
      <w:r w:rsidDel="00000000" w:rsidR="00000000" w:rsidRPr="00000000">
        <w:rPr>
          <w:rFonts w:ascii="Roche Sans" w:cs="Roche Sans" w:eastAsia="Roche Sans" w:hAnsi="Roche Sans"/>
          <w:vertAlign w:val="superscript"/>
          <w:rtl w:val="0"/>
        </w:rPr>
        <w:t xml:space="preserve">10</w:t>
      </w:r>
      <w:r w:rsidDel="00000000" w:rsidR="00000000" w:rsidRPr="00000000">
        <w:rPr>
          <w:rFonts w:ascii="Roche Sans" w:cs="Roche Sans" w:eastAsia="Roche Sans" w:hAnsi="Roche Sans"/>
          <w:rtl w:val="0"/>
        </w:rPr>
        <w:t xml:space="preserve"> helping to ensure consistent and confident diagnoses. The test also maintains high concordance with HER2 FISH testing,</w:t>
      </w:r>
      <w:r w:rsidDel="00000000" w:rsidR="00000000" w:rsidRPr="00000000">
        <w:rPr>
          <w:rFonts w:ascii="Roche Sans" w:cs="Roche Sans" w:eastAsia="Roche Sans" w:hAnsi="Roche Sans"/>
          <w:vertAlign w:val="superscript"/>
          <w:rtl w:val="0"/>
        </w:rPr>
        <w:t xml:space="preserve">11</w:t>
      </w:r>
      <w:r w:rsidDel="00000000" w:rsidR="00000000" w:rsidRPr="00000000">
        <w:rPr>
          <w:rFonts w:ascii="Roche Sans" w:cs="Roche Sans" w:eastAsia="Roche Sans" w:hAnsi="Roche Sans"/>
          <w:rtl w:val="0"/>
        </w:rPr>
        <w:t xml:space="preserve"> making it a reliable component of HER2 diagnostic workflows.</w:t>
      </w:r>
    </w:p>
    <w:p w:rsidR="00000000" w:rsidDel="00000000" w:rsidP="00000000" w:rsidRDefault="00000000" w:rsidRPr="00000000" w14:paraId="0000000F">
      <w:pPr>
        <w:spacing w:line="240" w:lineRule="auto"/>
        <w:rPr>
          <w:rFonts w:ascii="Roche Sans" w:cs="Roche Sans" w:eastAsia="Roche Sans" w:hAnsi="Roche Sans"/>
        </w:rPr>
      </w:pPr>
      <w:r w:rsidDel="00000000" w:rsidR="00000000" w:rsidRPr="00000000">
        <w:rPr>
          <w:rtl w:val="0"/>
        </w:rPr>
      </w:r>
    </w:p>
    <w:p w:rsidR="00000000" w:rsidDel="00000000" w:rsidP="00000000" w:rsidRDefault="00000000" w:rsidRPr="00000000" w14:paraId="00000010">
      <w:pPr>
        <w:spacing w:line="240" w:lineRule="auto"/>
        <w:rPr>
          <w:rFonts w:ascii="Roche Sans" w:cs="Roche Sans" w:eastAsia="Roche Sans" w:hAnsi="Roche Sans"/>
        </w:rPr>
      </w:pPr>
      <w:r w:rsidDel="00000000" w:rsidR="00000000" w:rsidRPr="00000000">
        <w:rPr>
          <w:rFonts w:ascii="Roche Sans" w:cs="Roche Sans" w:eastAsia="Roche Sans" w:hAnsi="Roche Sans"/>
          <w:rtl w:val="0"/>
        </w:rPr>
        <w:t xml:space="preserve">Together, the tests strengthen Roche’s comprehensive HER2 diagnostic portfolio. By delivering reliable and actionable results, they support diagnostic precision across multiple cancer types, expanding access to personalized treatment options, with the goal of improving outcomes for patients facing HER2-positive cancers.</w:t>
      </w:r>
    </w:p>
    <w:p w:rsidR="00000000" w:rsidDel="00000000" w:rsidP="00000000" w:rsidRDefault="00000000" w:rsidRPr="00000000" w14:paraId="00000011">
      <w:pPr>
        <w:spacing w:line="240" w:lineRule="auto"/>
        <w:rPr>
          <w:rFonts w:ascii="Roche Sans" w:cs="Roche Sans" w:eastAsia="Roche Sans" w:hAnsi="Roche Sans"/>
        </w:rPr>
      </w:pPr>
      <w:r w:rsidDel="00000000" w:rsidR="00000000" w:rsidRPr="00000000">
        <w:rPr>
          <w:rtl w:val="0"/>
        </w:rPr>
      </w:r>
    </w:p>
    <w:p w:rsidR="00000000" w:rsidDel="00000000" w:rsidP="00000000" w:rsidRDefault="00000000" w:rsidRPr="00000000" w14:paraId="00000012">
      <w:pPr>
        <w:spacing w:after="200" w:line="240" w:lineRule="auto"/>
        <w:rPr>
          <w:rFonts w:ascii="Roche Sans" w:cs="Roche Sans" w:eastAsia="Roche Sans" w:hAnsi="Roche Sans"/>
          <w:b w:val="1"/>
          <w:bCs w:val="1"/>
          <w:color w:val="0b41cd"/>
        </w:rPr>
      </w:pPr>
      <w:bookmarkStart w:colFirst="0" w:colLast="0" w:name="_heading=h.edbkraz8lk1j" w:id="3"/>
      <w:bookmarkEnd w:id="3"/>
      <w:r w:rsidDel="00000000" w:rsidR="00000000" w:rsidRPr="00000000">
        <w:rPr>
          <w:rFonts w:ascii="Roche Sans" w:cs="Roche Sans" w:eastAsia="Roche Sans" w:hAnsi="Roche Sans"/>
          <w:rtl w:val="0"/>
        </w:rPr>
        <w:t xml:space="preserve">For more information about the portfolio, please visit the Roche Diagnostics Pathology Lab </w:t>
      </w:r>
      <w:hyperlink r:id="rId7">
        <w:r w:rsidDel="00000000" w:rsidR="00000000" w:rsidRPr="00000000">
          <w:rPr>
            <w:rFonts w:ascii="Roche Sans" w:cs="Roche Sans" w:eastAsia="Roche Sans" w:hAnsi="Roche Sans"/>
            <w:color w:val="1155cc"/>
            <w:u w:val="single"/>
            <w:rtl w:val="0"/>
          </w:rPr>
          <w:t xml:space="preserve">companion diagnostics </w:t>
        </w:r>
      </w:hyperlink>
      <w:hyperlink r:id="rId8">
        <w:r w:rsidDel="00000000" w:rsidR="00000000" w:rsidRPr="00000000">
          <w:rPr>
            <w:rFonts w:ascii="Roche Sans" w:cs="Roche Sans" w:eastAsia="Roche Sans" w:hAnsi="Roche Sans"/>
            <w:rtl w:val="0"/>
          </w:rPr>
          <w:t xml:space="preserve">page</w:t>
        </w:r>
      </w:hyperlink>
      <w:r w:rsidDel="00000000" w:rsidR="00000000" w:rsidRPr="00000000">
        <w:rPr>
          <w:rFonts w:ascii="Roche Sans" w:cs="Roche Sans" w:eastAsia="Roche Sans" w:hAnsi="Roche Sans"/>
          <w:rtl w:val="0"/>
        </w:rPr>
        <w:t xml:space="preserve">.</w:t>
      </w:r>
      <w:r w:rsidDel="00000000" w:rsidR="00000000" w:rsidRPr="00000000">
        <w:rPr>
          <w:rtl w:val="0"/>
        </w:rPr>
      </w:r>
    </w:p>
    <w:p w:rsidR="00000000" w:rsidDel="00000000" w:rsidP="00000000" w:rsidRDefault="00000000" w:rsidRPr="00000000" w14:paraId="00000013">
      <w:pPr>
        <w:spacing w:after="200" w:line="252.00000000000003" w:lineRule="auto"/>
        <w:rPr>
          <w:rFonts w:ascii="Roche Sans" w:cs="Roche Sans" w:eastAsia="Roche Sans" w:hAnsi="Roche Sans"/>
        </w:rPr>
      </w:pPr>
      <w:r w:rsidDel="00000000" w:rsidR="00000000" w:rsidRPr="00000000">
        <w:rPr>
          <w:rFonts w:ascii="Roche Sans" w:cs="Roche Sans" w:eastAsia="Roche Sans" w:hAnsi="Roche Sans"/>
          <w:b w:val="1"/>
          <w:bCs w:val="1"/>
          <w:color w:val="0b41cd"/>
          <w:rtl w:val="0"/>
        </w:rPr>
        <w:br w:type="textWrapping"/>
        <w:t xml:space="preserve">About Roche</w:t>
      </w:r>
      <w:r w:rsidDel="00000000" w:rsidR="00000000" w:rsidRPr="00000000">
        <w:rPr>
          <w:rFonts w:ascii="Roche Sans" w:cs="Roche Sans" w:eastAsia="Roche Sans" w:hAnsi="Roche Sans"/>
          <w:rtl w:val="0"/>
        </w:rPr>
        <w:t xml:space="preserve"> </w:t>
      </w:r>
      <w:r w:rsidDel="00000000" w:rsidR="00000000" w:rsidRPr="00000000">
        <w:rPr>
          <w:rFonts w:ascii="Roche Sans" w:cs="Roche Sans" w:eastAsia="Roche Sans" w:hAnsi="Roche Sans"/>
          <w:color w:val="0b41cd"/>
          <w:rtl w:val="0"/>
        </w:rPr>
        <w:br w:type="textWrapping"/>
      </w:r>
      <w:r w:rsidDel="00000000" w:rsidR="00000000" w:rsidRPr="00000000">
        <w:rPr>
          <w:rFonts w:ascii="Roche Sans" w:cs="Roche Sans" w:eastAsia="Roche Sans" w:hAnsi="Roche Sans"/>
          <w:rtl w:val="0"/>
        </w:rPr>
        <w:t xml:space="preserve">Roche (SIX: RO, ROP; OTCQX: RHHBY) is a healthcare company uniquely placed to prevent, stop and cure diseases by uniting leading science and technology across diagnostics, medicines and digital solutions. </w:t>
      </w:r>
    </w:p>
    <w:p w:rsidR="00000000" w:rsidDel="00000000" w:rsidP="00000000" w:rsidRDefault="00000000" w:rsidRPr="00000000" w14:paraId="00000014">
      <w:pPr>
        <w:spacing w:after="200" w:line="252.00000000000003" w:lineRule="auto"/>
        <w:rPr>
          <w:rFonts w:ascii="Roche Sans" w:cs="Roche Sans" w:eastAsia="Roche Sans" w:hAnsi="Roche Sans"/>
        </w:rPr>
      </w:pPr>
      <w:bookmarkStart w:colFirst="0" w:colLast="0" w:name="_heading=h.f15tb5qq0pet" w:id="4"/>
      <w:bookmarkEnd w:id="4"/>
      <w:r w:rsidDel="00000000" w:rsidR="00000000" w:rsidRPr="00000000">
        <w:rPr>
          <w:rFonts w:ascii="Roche Sans" w:cs="Roche Sans" w:eastAsia="Roche Sans" w:hAnsi="Roche Sans"/>
          <w:rtl w:val="0"/>
        </w:rPr>
        <w:t xml:space="preserve">Roche was founded in Basel, Switzerland, in 1896 and today is a leading provider of transformative medicines and diagnostics for millions of people in over 150 countries around the world. It is dedicated to tackling healthcare challenges that place the greatest strain on patients, families, communities and healthcare systems. Across its Diagnostics and Pharmaceutical divisions, Roche focuses on areas including oncology, neurology, cardiovascular and metabolic diseases, ophthalmology, infectious diseases and immunology with the aim of providing real and positive change for patients, the people they love and the professionals who care for them.</w:t>
      </w:r>
    </w:p>
    <w:p w:rsidR="00000000" w:rsidDel="00000000" w:rsidP="00000000" w:rsidRDefault="00000000" w:rsidRPr="00000000" w14:paraId="00000015">
      <w:pPr>
        <w:spacing w:after="200" w:line="252.00000000000003" w:lineRule="auto"/>
        <w:rPr>
          <w:rFonts w:ascii="Roche Sans" w:cs="Roche Sans" w:eastAsia="Roche Sans" w:hAnsi="Roche Sans"/>
          <w:b w:val="1"/>
          <w:bCs w:val="1"/>
          <w:color w:val="0b41cd"/>
        </w:rPr>
      </w:pPr>
      <w:bookmarkStart w:colFirst="0" w:colLast="0" w:name="_heading=h.87z2esb9sos1" w:id="5"/>
      <w:bookmarkEnd w:id="5"/>
      <w:r w:rsidDel="00000000" w:rsidR="00000000" w:rsidRPr="00000000">
        <w:rPr>
          <w:rFonts w:ascii="Roche Sans" w:cs="Roche Sans" w:eastAsia="Roche Sans" w:hAnsi="Roche Sans"/>
          <w:rtl w:val="0"/>
        </w:rPr>
        <w:t xml:space="preserve">Genentech in the United States is a fully owned subsidiary in the Roche Group. Roche is the majority shareholder in Chugai Pharmaceutical, a major innovator in the Japanese therapeutic antibody market. </w:t>
      </w:r>
      <w:r w:rsidDel="00000000" w:rsidR="00000000" w:rsidRPr="00000000">
        <w:rPr>
          <w:rtl w:val="0"/>
        </w:rPr>
      </w:r>
    </w:p>
    <w:p w:rsidR="00000000" w:rsidDel="00000000" w:rsidP="00000000" w:rsidRDefault="00000000" w:rsidRPr="00000000" w14:paraId="00000016">
      <w:pPr>
        <w:spacing w:after="200" w:line="252.00000000000003" w:lineRule="auto"/>
        <w:rPr>
          <w:rFonts w:ascii="Roche Sans" w:cs="Roche Sans" w:eastAsia="Roche Sans" w:hAnsi="Roche Sans"/>
          <w:sz w:val="18"/>
          <w:szCs w:val="18"/>
        </w:rPr>
      </w:pPr>
      <w:bookmarkStart w:colFirst="0" w:colLast="0" w:name="_heading=h.h10yiwok6x0i" w:id="6"/>
      <w:bookmarkEnd w:id="6"/>
      <w:r w:rsidDel="00000000" w:rsidR="00000000" w:rsidRPr="00000000">
        <w:rPr>
          <w:rFonts w:ascii="Roche Sans" w:cs="Roche Sans" w:eastAsia="Roche Sans" w:hAnsi="Roche Sans"/>
          <w:rtl w:val="0"/>
        </w:rPr>
        <w:t xml:space="preserve">For more information, please visit </w:t>
      </w:r>
      <w:hyperlink r:id="rId9">
        <w:r w:rsidDel="00000000" w:rsidR="00000000" w:rsidRPr="00000000">
          <w:rPr>
            <w:rFonts w:ascii="Roche Sans" w:cs="Roche Sans" w:eastAsia="Roche Sans" w:hAnsi="Roche Sans"/>
            <w:color w:val="1155cc"/>
            <w:u w:val="single"/>
            <w:rtl w:val="0"/>
          </w:rPr>
          <w:t xml:space="preserve">www.roche.com</w:t>
        </w:r>
      </w:hyperlink>
      <w:r w:rsidDel="00000000" w:rsidR="00000000" w:rsidRPr="00000000">
        <w:rPr>
          <w:rFonts w:ascii="Roche Sans" w:cs="Roche Sans" w:eastAsia="Roche Sans" w:hAnsi="Roche Sans"/>
          <w:rtl w:val="0"/>
        </w:rPr>
        <w:t xml:space="preserve">.</w:t>
      </w:r>
      <w:r w:rsidDel="00000000" w:rsidR="00000000" w:rsidRPr="00000000">
        <w:rPr>
          <w:rtl w:val="0"/>
        </w:rPr>
      </w:r>
    </w:p>
    <w:p w:rsidR="00000000" w:rsidDel="00000000" w:rsidP="00000000" w:rsidRDefault="00000000" w:rsidRPr="00000000" w14:paraId="00000017">
      <w:pPr>
        <w:spacing w:after="0" w:line="240" w:lineRule="auto"/>
        <w:rPr>
          <w:rFonts w:ascii="Roche Sans" w:cs="Roche Sans" w:eastAsia="Roche Sans" w:hAnsi="Roche Sans"/>
          <w:b w:val="1"/>
          <w:bCs w:val="1"/>
          <w:color w:val="0b41cd"/>
        </w:rPr>
      </w:pPr>
      <w:bookmarkStart w:colFirst="0" w:colLast="0" w:name="_heading=h.aym0tjjvg2so" w:id="7"/>
      <w:bookmarkEnd w:id="7"/>
      <w:r w:rsidDel="00000000" w:rsidR="00000000" w:rsidRPr="00000000">
        <w:rPr>
          <w:rFonts w:ascii="Roche Sans" w:cs="Roche Sans" w:eastAsia="Roche Sans" w:hAnsi="Roche Sans"/>
          <w:sz w:val="18"/>
          <w:szCs w:val="18"/>
          <w:rtl w:val="0"/>
        </w:rPr>
        <w:t xml:space="preserve">All trademarks used or mentioned in this release are protected by law.</w:t>
        <w:br w:type="textWrapping"/>
        <w:br w:type="textWrapping"/>
        <w:br w:type="textWrapping"/>
      </w:r>
      <w:r w:rsidDel="00000000" w:rsidR="00000000" w:rsidRPr="00000000">
        <w:rPr>
          <w:rFonts w:ascii="Roche Sans" w:cs="Roche Sans" w:eastAsia="Roche Sans" w:hAnsi="Roche Sans"/>
          <w:b w:val="1"/>
          <w:bCs w:val="1"/>
          <w:color w:val="0b41cd"/>
          <w:rtl w:val="0"/>
        </w:rPr>
        <w:t xml:space="preserve">References</w:t>
      </w:r>
    </w:p>
    <w:p w:rsidR="00000000" w:rsidDel="00000000" w:rsidP="00000000" w:rsidRDefault="00000000" w:rsidRPr="00000000" w14:paraId="00000018">
      <w:pPr>
        <w:spacing w:after="0" w:line="240" w:lineRule="auto"/>
        <w:ind w:left="0" w:firstLine="0"/>
        <w:rPr>
          <w:rFonts w:ascii="Roche Sans" w:cs="Roche Sans" w:eastAsia="Roche Sans" w:hAnsi="Roche Sans"/>
          <w:sz w:val="20"/>
          <w:szCs w:val="20"/>
        </w:rPr>
      </w:pPr>
      <w:bookmarkStart w:colFirst="0" w:colLast="0" w:name="_heading=h.smycty1zsnzb" w:id="8"/>
      <w:bookmarkEnd w:id="8"/>
      <w:r w:rsidDel="00000000" w:rsidR="00000000" w:rsidRPr="00000000">
        <w:rPr>
          <w:rFonts w:ascii="Roche Sans" w:cs="Roche Sans" w:eastAsia="Roche Sans" w:hAnsi="Roche Sans"/>
          <w:sz w:val="20"/>
          <w:szCs w:val="20"/>
          <w:rtl w:val="0"/>
        </w:rPr>
        <w:t xml:space="preserve">1. Ecancermedicalscience. </w:t>
      </w:r>
      <w:hyperlink r:id="rId10">
        <w:r w:rsidDel="00000000" w:rsidR="00000000" w:rsidRPr="00000000">
          <w:rPr>
            <w:rFonts w:ascii="Roche Sans" w:cs="Roche Sans" w:eastAsia="Roche Sans" w:hAnsi="Roche Sans"/>
            <w:color w:val="1155cc"/>
            <w:sz w:val="20"/>
            <w:szCs w:val="20"/>
            <w:u w:val="single"/>
            <w:rtl w:val="0"/>
          </w:rPr>
          <w:t xml:space="preserve">Targeted literature review of the global burden of gastric cancer.</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19">
      <w:pPr>
        <w:spacing w:after="0" w:line="240" w:lineRule="auto"/>
        <w:ind w:left="0" w:firstLine="0"/>
        <w:rPr>
          <w:rFonts w:ascii="Roche Sans" w:cs="Roche Sans" w:eastAsia="Roche Sans" w:hAnsi="Roche Sans"/>
          <w:sz w:val="20"/>
          <w:szCs w:val="20"/>
        </w:rPr>
      </w:pPr>
      <w:bookmarkStart w:colFirst="0" w:colLast="0" w:name="_heading=h.obbk2ipuyu1q" w:id="9"/>
      <w:bookmarkEnd w:id="9"/>
      <w:r w:rsidDel="00000000" w:rsidR="00000000" w:rsidRPr="00000000">
        <w:rPr>
          <w:rFonts w:ascii="Roche Sans" w:cs="Roche Sans" w:eastAsia="Roche Sans" w:hAnsi="Roche Sans"/>
          <w:sz w:val="20"/>
          <w:szCs w:val="20"/>
          <w:rtl w:val="0"/>
        </w:rPr>
        <w:t xml:space="preserve">2. Cleveland Clinic Journal of Medicine. </w:t>
      </w:r>
      <w:hyperlink r:id="rId11">
        <w:r w:rsidDel="00000000" w:rsidR="00000000" w:rsidRPr="00000000">
          <w:rPr>
            <w:rFonts w:ascii="Roche Sans" w:cs="Roche Sans" w:eastAsia="Roche Sans" w:hAnsi="Roche Sans"/>
            <w:color w:val="1155cc"/>
            <w:sz w:val="20"/>
            <w:szCs w:val="20"/>
            <w:u w:val="single"/>
            <w:rtl w:val="0"/>
          </w:rPr>
          <w:t xml:space="preserve">Esophageal adenocarcinoma: A dire need for early detection and treatment.</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1A">
      <w:pPr>
        <w:spacing w:after="0" w:line="240" w:lineRule="auto"/>
        <w:ind w:left="0" w:firstLine="0"/>
        <w:rPr>
          <w:rFonts w:ascii="Roche Sans" w:cs="Roche Sans" w:eastAsia="Roche Sans" w:hAnsi="Roche Sans"/>
          <w:sz w:val="20"/>
          <w:szCs w:val="20"/>
        </w:rPr>
      </w:pPr>
      <w:bookmarkStart w:colFirst="0" w:colLast="0" w:name="_heading=h.i6qubecw00d1" w:id="10"/>
      <w:bookmarkEnd w:id="10"/>
      <w:r w:rsidDel="00000000" w:rsidR="00000000" w:rsidRPr="00000000">
        <w:rPr>
          <w:rFonts w:ascii="Roche Sans" w:cs="Roche Sans" w:eastAsia="Roche Sans" w:hAnsi="Roche Sans"/>
          <w:sz w:val="20"/>
          <w:szCs w:val="20"/>
          <w:rtl w:val="0"/>
        </w:rPr>
        <w:t xml:space="preserve">3. CA: A Cancer Journal for Clinicians. </w:t>
      </w:r>
      <w:hyperlink r:id="rId12">
        <w:r w:rsidDel="00000000" w:rsidR="00000000" w:rsidRPr="00000000">
          <w:rPr>
            <w:rFonts w:ascii="Roche Sans" w:cs="Roche Sans" w:eastAsia="Roche Sans" w:hAnsi="Roche Sans"/>
            <w:color w:val="1155cc"/>
            <w:sz w:val="20"/>
            <w:szCs w:val="20"/>
            <w:u w:val="single"/>
            <w:rtl w:val="0"/>
          </w:rPr>
          <w:t xml:space="preserve">Global cancer statistics 2024: GLOBOCAN estimates of incidence and mortality worldwide for 34 cancers in 186 countries.</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1B">
      <w:pPr>
        <w:spacing w:after="0" w:line="240" w:lineRule="auto"/>
        <w:ind w:left="0" w:firstLine="0"/>
        <w:rPr>
          <w:rFonts w:ascii="Roche Sans" w:cs="Roche Sans" w:eastAsia="Roche Sans" w:hAnsi="Roche Sans"/>
          <w:sz w:val="20"/>
          <w:szCs w:val="20"/>
        </w:rPr>
      </w:pPr>
      <w:bookmarkStart w:colFirst="0" w:colLast="0" w:name="_heading=h.zi2f6g4ui5ty" w:id="11"/>
      <w:bookmarkEnd w:id="11"/>
      <w:r w:rsidDel="00000000" w:rsidR="00000000" w:rsidRPr="00000000">
        <w:rPr>
          <w:rFonts w:ascii="Roche Sans" w:cs="Roche Sans" w:eastAsia="Roche Sans" w:hAnsi="Roche Sans"/>
          <w:sz w:val="20"/>
          <w:szCs w:val="20"/>
          <w:rtl w:val="0"/>
        </w:rPr>
        <w:t xml:space="preserve">4. Cancer Treatment and Research Communications. </w:t>
      </w:r>
      <w:hyperlink r:id="rId13">
        <w:r w:rsidDel="00000000" w:rsidR="00000000" w:rsidRPr="00000000">
          <w:rPr>
            <w:rFonts w:ascii="Roche Sans" w:cs="Roche Sans" w:eastAsia="Roche Sans" w:hAnsi="Roche Sans"/>
            <w:color w:val="1155cc"/>
            <w:sz w:val="20"/>
            <w:szCs w:val="20"/>
            <w:u w:val="single"/>
            <w:rtl w:val="0"/>
          </w:rPr>
          <w:t xml:space="preserve">Gastric cancer - epidemiology, modifiable and non-modifiable risk factors, challenges and opportunities: An updated review. </w:t>
        </w:r>
      </w:hyperlink>
      <w:r w:rsidDel="00000000" w:rsidR="00000000" w:rsidRPr="00000000">
        <w:rPr>
          <w:rFonts w:ascii="Roche Sans" w:cs="Roche Sans" w:eastAsia="Roche Sans" w:hAnsi="Roche Sans"/>
          <w:sz w:val="20"/>
          <w:szCs w:val="20"/>
          <w:rtl w:val="0"/>
        </w:rPr>
        <w:t xml:space="preserve">Accessed August 26, 2026. </w:t>
      </w:r>
    </w:p>
    <w:p w:rsidR="00000000" w:rsidDel="00000000" w:rsidP="00000000" w:rsidRDefault="00000000" w:rsidRPr="00000000" w14:paraId="0000001C">
      <w:pPr>
        <w:spacing w:after="0" w:line="240" w:lineRule="auto"/>
        <w:ind w:left="0" w:firstLine="0"/>
        <w:rPr>
          <w:rFonts w:ascii="Roche Sans" w:cs="Roche Sans" w:eastAsia="Roche Sans" w:hAnsi="Roche Sans"/>
          <w:sz w:val="20"/>
          <w:szCs w:val="20"/>
        </w:rPr>
      </w:pPr>
      <w:bookmarkStart w:colFirst="0" w:colLast="0" w:name="_heading=h.oq0ls9se9vvf" w:id="12"/>
      <w:bookmarkEnd w:id="12"/>
      <w:r w:rsidDel="00000000" w:rsidR="00000000" w:rsidRPr="00000000">
        <w:rPr>
          <w:rFonts w:ascii="Roche Sans" w:cs="Roche Sans" w:eastAsia="Roche Sans" w:hAnsi="Roche Sans"/>
          <w:sz w:val="20"/>
          <w:szCs w:val="20"/>
          <w:rtl w:val="0"/>
        </w:rPr>
        <w:t xml:space="preserve">5. Drug design, Development and Therapy. </w:t>
      </w:r>
      <w:hyperlink r:id="rId14">
        <w:r w:rsidDel="00000000" w:rsidR="00000000" w:rsidRPr="00000000">
          <w:rPr>
            <w:rFonts w:ascii="Roche Sans" w:cs="Roche Sans" w:eastAsia="Roche Sans" w:hAnsi="Roche Sans"/>
            <w:color w:val="1155cc"/>
            <w:sz w:val="20"/>
            <w:szCs w:val="20"/>
            <w:u w:val="single"/>
            <w:rtl w:val="0"/>
          </w:rPr>
          <w:t xml:space="preserve">Targeting esophageal cancer: Promising drugs for the clinical landscape and key knowledge gaps.</w:t>
        </w:r>
      </w:hyperlink>
      <w:r w:rsidDel="00000000" w:rsidR="00000000" w:rsidRPr="00000000">
        <w:rPr>
          <w:rFonts w:ascii="Roche Sans" w:cs="Roche Sans" w:eastAsia="Roche Sans" w:hAnsi="Roche Sans"/>
          <w:sz w:val="20"/>
          <w:szCs w:val="20"/>
          <w:rtl w:val="0"/>
        </w:rPr>
        <w:t xml:space="preserve"> Accessed August 26, 2026. </w:t>
      </w:r>
    </w:p>
    <w:p w:rsidR="00000000" w:rsidDel="00000000" w:rsidP="00000000" w:rsidRDefault="00000000" w:rsidRPr="00000000" w14:paraId="0000001D">
      <w:pPr>
        <w:spacing w:after="0" w:line="240" w:lineRule="auto"/>
        <w:ind w:left="0" w:firstLine="0"/>
        <w:rPr>
          <w:rFonts w:ascii="Roche Sans" w:cs="Roche Sans" w:eastAsia="Roche Sans" w:hAnsi="Roche Sans"/>
          <w:sz w:val="20"/>
          <w:szCs w:val="20"/>
        </w:rPr>
      </w:pPr>
      <w:bookmarkStart w:colFirst="0" w:colLast="0" w:name="_heading=h.vavyfnqi3j9e" w:id="13"/>
      <w:bookmarkEnd w:id="13"/>
      <w:r w:rsidDel="00000000" w:rsidR="00000000" w:rsidRPr="00000000">
        <w:rPr>
          <w:rFonts w:ascii="Roche Sans" w:cs="Roche Sans" w:eastAsia="Roche Sans" w:hAnsi="Roche Sans"/>
          <w:sz w:val="20"/>
          <w:szCs w:val="20"/>
          <w:rtl w:val="0"/>
        </w:rPr>
        <w:t xml:space="preserve">6. Roche PATHWAY anti-HER2/neu (4B5) Rabbit Monoclonal Primary Antibody, Package Insert Rev Q. 2026. Roche. VENTANA HER2 Dual ISH DNA Probe Cocktail (US), PMA Package Insert. Rev E. 2026. </w:t>
      </w:r>
    </w:p>
    <w:p w:rsidR="00000000" w:rsidDel="00000000" w:rsidP="00000000" w:rsidRDefault="00000000" w:rsidRPr="00000000" w14:paraId="0000001E">
      <w:pPr>
        <w:spacing w:after="0" w:line="240" w:lineRule="auto"/>
        <w:ind w:left="0" w:firstLine="0"/>
        <w:rPr>
          <w:rFonts w:ascii="Roche Sans" w:cs="Roche Sans" w:eastAsia="Roche Sans" w:hAnsi="Roche Sans"/>
          <w:sz w:val="20"/>
          <w:szCs w:val="20"/>
        </w:rPr>
      </w:pPr>
      <w:bookmarkStart w:colFirst="0" w:colLast="0" w:name="_heading=h.zfoffrfnb3td" w:id="14"/>
      <w:bookmarkEnd w:id="14"/>
      <w:r w:rsidDel="00000000" w:rsidR="00000000" w:rsidRPr="00000000">
        <w:rPr>
          <w:rFonts w:ascii="Roche Sans" w:cs="Roche Sans" w:eastAsia="Roche Sans" w:hAnsi="Roche Sans"/>
          <w:sz w:val="20"/>
          <w:szCs w:val="20"/>
          <w:rtl w:val="0"/>
        </w:rPr>
        <w:t xml:space="preserve">7. </w:t>
      </w:r>
      <w:hyperlink r:id="rId15">
        <w:r w:rsidDel="00000000" w:rsidR="00000000" w:rsidRPr="00000000">
          <w:rPr>
            <w:rFonts w:ascii="Roche Sans" w:cs="Roche Sans" w:eastAsia="Roche Sans" w:hAnsi="Roche Sans"/>
            <w:color w:val="1155cc"/>
            <w:sz w:val="20"/>
            <w:szCs w:val="20"/>
            <w:u w:val="single"/>
            <w:rtl w:val="0"/>
          </w:rPr>
          <w:t xml:space="preserve">NordiQC Assessments.</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1F">
      <w:pPr>
        <w:spacing w:after="0" w:line="240" w:lineRule="auto"/>
        <w:ind w:left="0" w:firstLine="0"/>
        <w:rPr>
          <w:rFonts w:ascii="Roche Sans" w:cs="Roche Sans" w:eastAsia="Roche Sans" w:hAnsi="Roche Sans"/>
          <w:sz w:val="20"/>
          <w:szCs w:val="20"/>
        </w:rPr>
      </w:pPr>
      <w:bookmarkStart w:colFirst="0" w:colLast="0" w:name="_heading=h.lj74cg480g1a" w:id="15"/>
      <w:bookmarkEnd w:id="15"/>
      <w:r w:rsidDel="00000000" w:rsidR="00000000" w:rsidRPr="00000000">
        <w:rPr>
          <w:rFonts w:ascii="Roche Sans" w:cs="Roche Sans" w:eastAsia="Roche Sans" w:hAnsi="Roche Sans"/>
          <w:sz w:val="20"/>
          <w:szCs w:val="20"/>
          <w:rtl w:val="0"/>
        </w:rPr>
        <w:t xml:space="preserve">8. Virchows Archive. </w:t>
      </w:r>
      <w:hyperlink r:id="rId16">
        <w:r w:rsidDel="00000000" w:rsidR="00000000" w:rsidRPr="00000000">
          <w:rPr>
            <w:rFonts w:ascii="Roche Sans" w:cs="Roche Sans" w:eastAsia="Roche Sans" w:hAnsi="Roche Sans"/>
            <w:color w:val="1155cc"/>
            <w:sz w:val="20"/>
            <w:szCs w:val="20"/>
            <w:u w:val="single"/>
            <w:rtl w:val="0"/>
          </w:rPr>
          <w:t xml:space="preserve">Comprehensive immunohistochemical analysis of HER-2/neu oncoprotein overexpression in breast cancer: HercepTEst (Dako) for manual testing and HER-2/neuTest 4B5 (Ventana) for Ventana BenchMark automatic stain system with correlation to results of fluorescence in situ hybridization.</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20">
      <w:pPr>
        <w:spacing w:after="0" w:line="240" w:lineRule="auto"/>
        <w:ind w:left="0" w:firstLine="0"/>
        <w:rPr>
          <w:rFonts w:ascii="Roche Sans" w:cs="Roche Sans" w:eastAsia="Roche Sans" w:hAnsi="Roche Sans"/>
          <w:sz w:val="20"/>
          <w:szCs w:val="20"/>
        </w:rPr>
      </w:pPr>
      <w:bookmarkStart w:colFirst="0" w:colLast="0" w:name="_heading=h.nnllvt5wzy6t" w:id="16"/>
      <w:bookmarkEnd w:id="16"/>
      <w:r w:rsidDel="00000000" w:rsidR="00000000" w:rsidRPr="00000000">
        <w:rPr>
          <w:rFonts w:ascii="Roche Sans" w:cs="Roche Sans" w:eastAsia="Roche Sans" w:hAnsi="Roche Sans"/>
          <w:sz w:val="20"/>
          <w:szCs w:val="20"/>
          <w:rtl w:val="0"/>
        </w:rPr>
        <w:t xml:space="preserve">9. Applied Immunohistochemistry &amp; Molecular Morphology. </w:t>
      </w:r>
      <w:hyperlink r:id="rId17">
        <w:r w:rsidDel="00000000" w:rsidR="00000000" w:rsidRPr="00000000">
          <w:rPr>
            <w:rFonts w:ascii="Roche Sans" w:cs="Roche Sans" w:eastAsia="Roche Sans" w:hAnsi="Roche Sans"/>
            <w:color w:val="1155cc"/>
            <w:sz w:val="20"/>
            <w:szCs w:val="20"/>
            <w:u w:val="single"/>
            <w:rtl w:val="0"/>
          </w:rPr>
          <w:t xml:space="preserve">Testing HER2 in breast cancer: a comparative study on BRISH, FISH, and IHC.</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21">
      <w:pPr>
        <w:spacing w:after="0" w:line="240" w:lineRule="auto"/>
        <w:ind w:left="0" w:firstLine="0"/>
        <w:rPr>
          <w:rFonts w:ascii="Roche Sans" w:cs="Roche Sans" w:eastAsia="Roche Sans" w:hAnsi="Roche Sans"/>
          <w:sz w:val="20"/>
          <w:szCs w:val="20"/>
        </w:rPr>
      </w:pPr>
      <w:bookmarkStart w:colFirst="0" w:colLast="0" w:name="_heading=h.gwgehmooxaow" w:id="17"/>
      <w:bookmarkEnd w:id="17"/>
      <w:r w:rsidDel="00000000" w:rsidR="00000000" w:rsidRPr="00000000">
        <w:rPr>
          <w:rFonts w:ascii="Roche Sans" w:cs="Roche Sans" w:eastAsia="Roche Sans" w:hAnsi="Roche Sans"/>
          <w:sz w:val="20"/>
          <w:szCs w:val="20"/>
          <w:rtl w:val="0"/>
        </w:rPr>
        <w:t xml:space="preserve">10. </w:t>
      </w:r>
      <w:hyperlink r:id="rId18">
        <w:r w:rsidDel="00000000" w:rsidR="00000000" w:rsidRPr="00000000">
          <w:rPr>
            <w:rFonts w:ascii="Roche Sans" w:cs="Roche Sans" w:eastAsia="Roche Sans" w:hAnsi="Roche Sans"/>
            <w:color w:val="1155cc"/>
            <w:sz w:val="20"/>
            <w:szCs w:val="20"/>
            <w:u w:val="single"/>
            <w:rtl w:val="0"/>
          </w:rPr>
          <w:t xml:space="preserve">Ventana HER2 Dual ISH DNA Probe Cocktail product page.</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22">
      <w:pPr>
        <w:spacing w:after="0" w:line="240" w:lineRule="auto"/>
        <w:ind w:left="0" w:firstLine="0"/>
        <w:rPr>
          <w:rFonts w:ascii="Roche Sans" w:cs="Roche Sans" w:eastAsia="Roche Sans" w:hAnsi="Roche Sans"/>
          <w:sz w:val="20"/>
          <w:szCs w:val="20"/>
        </w:rPr>
      </w:pPr>
      <w:bookmarkStart w:colFirst="0" w:colLast="0" w:name="_heading=h.42w97kdexa5o" w:id="18"/>
      <w:bookmarkEnd w:id="18"/>
      <w:r w:rsidDel="00000000" w:rsidR="00000000" w:rsidRPr="00000000">
        <w:rPr>
          <w:rFonts w:ascii="Roche Sans" w:cs="Roche Sans" w:eastAsia="Roche Sans" w:hAnsi="Roche Sans"/>
          <w:sz w:val="20"/>
          <w:szCs w:val="20"/>
          <w:rtl w:val="0"/>
        </w:rPr>
        <w:t xml:space="preserve">11. Archives of Pathology and Laboratory Medicine. </w:t>
      </w:r>
      <w:hyperlink r:id="rId19">
        <w:r w:rsidDel="00000000" w:rsidR="00000000" w:rsidRPr="00000000">
          <w:rPr>
            <w:rFonts w:ascii="Roche Sans" w:cs="Roche Sans" w:eastAsia="Roche Sans" w:hAnsi="Roche Sans"/>
            <w:color w:val="1155cc"/>
            <w:sz w:val="20"/>
            <w:szCs w:val="20"/>
            <w:u w:val="single"/>
            <w:rtl w:val="0"/>
          </w:rPr>
          <w:t xml:space="preserve">Validation of dual-color dual in situ hybridization for HER2/neu gene in breast cancer.</w:t>
        </w:r>
      </w:hyperlink>
      <w:r w:rsidDel="00000000" w:rsidR="00000000" w:rsidRPr="00000000">
        <w:rPr>
          <w:rFonts w:ascii="Roche Sans" w:cs="Roche Sans" w:eastAsia="Roche Sans" w:hAnsi="Roche Sans"/>
          <w:sz w:val="20"/>
          <w:szCs w:val="20"/>
          <w:rtl w:val="0"/>
        </w:rPr>
        <w:t xml:space="preserve"> Accessed August 26, 2026.</w:t>
      </w:r>
    </w:p>
    <w:p w:rsidR="00000000" w:rsidDel="00000000" w:rsidP="00000000" w:rsidRDefault="00000000" w:rsidRPr="00000000" w14:paraId="00000023">
      <w:pPr>
        <w:spacing w:line="240" w:lineRule="auto"/>
        <w:rPr>
          <w:rFonts w:ascii="Roche Sans" w:cs="Roche Sans" w:eastAsia="Roche Sans" w:hAnsi="Roche Sans"/>
          <w:sz w:val="20"/>
          <w:szCs w:val="20"/>
        </w:rPr>
      </w:pP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pacing w:before="240" w:lineRule="auto"/>
        <w:rPr>
          <w:rFonts w:ascii="Roche Sans" w:cs="Roche Sans" w:eastAsia="Roche Sans" w:hAnsi="Roche Sans"/>
          <w:b w:val="1"/>
          <w:bCs w:val="1"/>
          <w:color w:val="0b41cd"/>
          <w:highlight w:val="white"/>
        </w:rPr>
      </w:pPr>
      <w:r w:rsidDel="00000000" w:rsidR="00000000" w:rsidRPr="00000000">
        <w:rPr>
          <w:rFonts w:ascii="Roche Sans" w:cs="Roche Sans" w:eastAsia="Roche Sans" w:hAnsi="Roche Sans"/>
          <w:b w:val="1"/>
          <w:bCs w:val="1"/>
          <w:color w:val="0b41cd"/>
          <w:highlight w:val="white"/>
          <w:rtl w:val="0"/>
        </w:rPr>
        <w:t xml:space="preserve">For Further Information </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before="240" w:lineRule="auto"/>
        <w:rPr>
          <w:rFonts w:ascii="Roche Sans" w:cs="Roche Sans" w:eastAsia="Roche Sans" w:hAnsi="Roche Sans"/>
        </w:rPr>
      </w:pPr>
      <w:r w:rsidDel="00000000" w:rsidR="00000000" w:rsidRPr="00000000">
        <w:rPr>
          <w:rFonts w:ascii="Roche Sans" w:cs="Roche Sans" w:eastAsia="Roche Sans" w:hAnsi="Roche Sans"/>
          <w:b w:val="1"/>
          <w:bCs w:val="1"/>
          <w:rtl w:val="0"/>
        </w:rPr>
        <w:t xml:space="preserve">Roche Diagnostics U.S. Media Relations</w:t>
      </w:r>
      <w:r w:rsidDel="00000000" w:rsidR="00000000" w:rsidRPr="00000000">
        <w:rPr>
          <w:sz w:val="20"/>
          <w:szCs w:val="20"/>
          <w:rtl w:val="0"/>
        </w:rPr>
        <w:br w:type="textWrapping"/>
      </w:r>
      <w:hyperlink r:id="rId20">
        <w:r w:rsidDel="00000000" w:rsidR="00000000" w:rsidRPr="00000000">
          <w:rPr>
            <w:rFonts w:ascii="Roche Sans" w:cs="Roche Sans" w:eastAsia="Roche Sans" w:hAnsi="Roche Sans"/>
            <w:color w:val="1155cc"/>
            <w:u w:val="single"/>
            <w:rtl w:val="0"/>
          </w:rPr>
          <w:t xml:space="preserve">us.mediarelations@roche.com</w:t>
        </w:r>
      </w:hyperlink>
      <w:r w:rsidDel="00000000" w:rsidR="00000000" w:rsidRPr="00000000">
        <w:rPr>
          <w:rtl w:val="0"/>
        </w:rPr>
      </w:r>
    </w:p>
    <w:p w:rsidR="00000000" w:rsidDel="00000000" w:rsidP="00000000" w:rsidRDefault="00000000" w:rsidRPr="00000000" w14:paraId="00000026">
      <w:pPr>
        <w:rPr>
          <w:rFonts w:ascii="Roche Sans" w:cs="Roche Sans" w:eastAsia="Roche Sans" w:hAnsi="Roche Sans"/>
        </w:rPr>
      </w:pPr>
      <w:r w:rsidDel="00000000" w:rsidR="00000000" w:rsidRPr="00000000">
        <w:rPr>
          <w:rFonts w:ascii="Roche Sans" w:cs="Roche Sans" w:eastAsia="Roche Sans" w:hAnsi="Roche Sans"/>
          <w:rtl w:val="0"/>
        </w:rPr>
        <w:br w:type="textWrapping"/>
        <w:t xml:space="preserve">Krystina Monaco</w:t>
      </w:r>
    </w:p>
    <w:p w:rsidR="00000000" w:rsidDel="00000000" w:rsidP="00000000" w:rsidRDefault="00000000" w:rsidRPr="00000000" w14:paraId="00000027">
      <w:pPr>
        <w:rPr>
          <w:rFonts w:ascii="Roche Sans" w:cs="Roche Sans" w:eastAsia="Roche Sans" w:hAnsi="Roche Sans"/>
        </w:rPr>
      </w:pPr>
      <w:r w:rsidDel="00000000" w:rsidR="00000000" w:rsidRPr="00000000">
        <w:rPr>
          <w:rFonts w:ascii="Roche Sans" w:cs="Roche Sans" w:eastAsia="Roche Sans" w:hAnsi="Roche Sans"/>
          <w:rtl w:val="0"/>
        </w:rPr>
        <w:t xml:space="preserve">1-317-850-7521</w:t>
      </w:r>
    </w:p>
    <w:p w:rsidR="00000000" w:rsidDel="00000000" w:rsidP="00000000" w:rsidRDefault="00000000" w:rsidRPr="00000000" w14:paraId="00000028">
      <w:pPr>
        <w:rPr>
          <w:rFonts w:ascii="Roche Sans" w:cs="Roche Sans" w:eastAsia="Roche Sans" w:hAnsi="Roche Sans"/>
        </w:rPr>
      </w:pPr>
      <w:hyperlink r:id="rId21">
        <w:r w:rsidDel="00000000" w:rsidR="00000000" w:rsidRPr="00000000">
          <w:rPr>
            <w:rFonts w:ascii="Roche Sans" w:cs="Roche Sans" w:eastAsia="Roche Sans" w:hAnsi="Roche Sans"/>
            <w:color w:val="1155cc"/>
            <w:u w:val="single"/>
            <w:rtl w:val="0"/>
          </w:rPr>
          <w:t xml:space="preserve">krystina.monaco@roche.com</w:t>
        </w:r>
      </w:hyperlink>
      <w:r w:rsidDel="00000000" w:rsidR="00000000" w:rsidRPr="00000000">
        <w:rPr>
          <w:rFonts w:ascii="Roche Sans" w:cs="Roche Sans" w:eastAsia="Roche Sans" w:hAnsi="Roche Sans"/>
          <w:rtl w:val="0"/>
        </w:rPr>
        <w:t xml:space="preserve"> </w:t>
      </w:r>
    </w:p>
    <w:p w:rsidR="00000000" w:rsidDel="00000000" w:rsidP="00000000" w:rsidRDefault="00000000" w:rsidRPr="00000000" w14:paraId="00000029">
      <w:pPr>
        <w:rPr>
          <w:rFonts w:ascii="Roche Sans" w:cs="Roche Sans" w:eastAsia="Roche Sans" w:hAnsi="Roche Sans"/>
        </w:rPr>
      </w:pPr>
      <w:r w:rsidDel="00000000" w:rsidR="00000000" w:rsidRPr="00000000">
        <w:rPr>
          <w:rtl w:val="0"/>
        </w:rPr>
      </w:r>
    </w:p>
    <w:p w:rsidR="00000000" w:rsidDel="00000000" w:rsidP="00000000" w:rsidRDefault="00000000" w:rsidRPr="00000000" w14:paraId="0000002A">
      <w:pPr>
        <w:rPr>
          <w:rFonts w:ascii="Roche Sans" w:cs="Roche Sans" w:eastAsia="Roche Sans" w:hAnsi="Roche Sans"/>
        </w:rPr>
      </w:pPr>
      <w:r w:rsidDel="00000000" w:rsidR="00000000" w:rsidRPr="00000000">
        <w:rPr>
          <w:rFonts w:ascii="Roche Sans" w:cs="Roche Sans" w:eastAsia="Roche Sans" w:hAnsi="Roche Sans"/>
          <w:rtl w:val="0"/>
        </w:rPr>
        <w:t xml:space="preserve">Lori McLaughlin</w:t>
      </w:r>
    </w:p>
    <w:p w:rsidR="00000000" w:rsidDel="00000000" w:rsidP="00000000" w:rsidRDefault="00000000" w:rsidRPr="00000000" w14:paraId="0000002B">
      <w:pPr>
        <w:rPr>
          <w:rFonts w:ascii="Roche Sans" w:cs="Roche Sans" w:eastAsia="Roche Sans" w:hAnsi="Roche Sans"/>
        </w:rPr>
      </w:pPr>
      <w:r w:rsidDel="00000000" w:rsidR="00000000" w:rsidRPr="00000000">
        <w:rPr>
          <w:rFonts w:ascii="Roche Sans" w:cs="Roche Sans" w:eastAsia="Roche Sans" w:hAnsi="Roche Sans"/>
          <w:rtl w:val="0"/>
        </w:rPr>
        <w:t xml:space="preserve">1-463-207-2395</w:t>
      </w:r>
    </w:p>
    <w:p w:rsidR="00000000" w:rsidDel="00000000" w:rsidP="00000000" w:rsidRDefault="00000000" w:rsidRPr="00000000" w14:paraId="0000002C">
      <w:pPr>
        <w:rPr>
          <w:rFonts w:ascii="Roche Sans" w:cs="Roche Sans" w:eastAsia="Roche Sans" w:hAnsi="Roche Sans"/>
        </w:rPr>
      </w:pPr>
      <w:hyperlink r:id="rId22">
        <w:r w:rsidDel="00000000" w:rsidR="00000000" w:rsidRPr="00000000">
          <w:rPr>
            <w:rFonts w:ascii="Roche Sans" w:cs="Roche Sans" w:eastAsia="Roche Sans" w:hAnsi="Roche Sans"/>
            <w:color w:val="1155cc"/>
            <w:u w:val="single"/>
            <w:rtl w:val="0"/>
          </w:rPr>
          <w:t xml:space="preserve">lori.mclaughlin@roche.com</w:t>
        </w:r>
      </w:hyperlink>
      <w:r w:rsidDel="00000000" w:rsidR="00000000" w:rsidRPr="00000000">
        <w:rPr>
          <w:rFonts w:ascii="Roche Sans" w:cs="Roche Sans" w:eastAsia="Roche Sans" w:hAnsi="Roche Sans"/>
          <w:rtl w:val="0"/>
        </w:rPr>
        <w:t xml:space="preserve"> </w:t>
      </w:r>
    </w:p>
    <w:p w:rsidR="00000000" w:rsidDel="00000000" w:rsidP="00000000" w:rsidRDefault="00000000" w:rsidRPr="00000000" w14:paraId="0000002D">
      <w:pPr>
        <w:rPr>
          <w:rFonts w:ascii="Roche Sans" w:cs="Roche Sans" w:eastAsia="Roche Sans" w:hAnsi="Roche Sans"/>
        </w:rPr>
      </w:pP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r>
    </w:p>
    <w:sectPr>
      <w:headerReference r:id="rId23" w:type="default"/>
      <w:headerReference r:id="rId24" w:type="first"/>
      <w:footerReference r:id="rId25"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ch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spacing w:after="200" w:line="252.00000000000003"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spacing w:after="200" w:line="252.00000000000003" w:lineRule="auto"/>
      <w:rPr/>
    </w:pPr>
    <w:r w:rsidDel="00000000" w:rsidR="00000000" w:rsidRPr="00000000">
      <w:rPr>
        <w:rFonts w:ascii="Roche Sans" w:cs="Roche Sans" w:eastAsia="Roche Sans" w:hAnsi="Roche Sans"/>
        <w:b w:val="1"/>
        <w:bCs w:val="1"/>
        <w:color w:val="0b41cd"/>
        <w:sz w:val="56"/>
        <w:szCs w:val="56"/>
        <w:rtl w:val="0"/>
      </w:rPr>
      <w:t xml:space="preserve">Media Release</w:t>
    </w:r>
    <w:r w:rsidDel="00000000" w:rsidR="00000000" w:rsidRPr="00000000">
      <w:rPr/>
      <w:drawing>
        <wp:anchor allowOverlap="1" behindDoc="0" distB="114300" distT="114300" distL="114300" distR="114300" hidden="0" layoutInCell="1" locked="0" relativeHeight="0" simplePos="0">
          <wp:simplePos x="0" y="0"/>
          <wp:positionH relativeFrom="page">
            <wp:posOffset>6419850</wp:posOffset>
          </wp:positionH>
          <wp:positionV relativeFrom="page">
            <wp:posOffset>428625</wp:posOffset>
          </wp:positionV>
          <wp:extent cx="756000" cy="392400"/>
          <wp:effectExtent b="0" l="0" r="0" t="0"/>
          <wp:wrapNone/>
          <wp:docPr id="2" name="image1.jpg"/>
          <a:graphic>
            <a:graphicData uri="http://schemas.openxmlformats.org/drawingml/2006/picture">
              <pic:pic>
                <pic:nvPicPr>
                  <pic:cNvPr id="0" name="image1.jpg"/>
                  <pic:cNvPicPr preferRelativeResize="0"/>
                </pic:nvPicPr>
                <pic:blipFill>
                  <a:blip r:embed="rId1"/>
                  <a:srcRect b="27410" l="19774" r="19787" t="27844"/>
                  <a:stretch>
                    <a:fillRect/>
                  </a:stretch>
                </pic:blipFill>
                <pic:spPr>
                  <a:xfrm>
                    <a:off x="0" y="0"/>
                    <a:ext cx="756000" cy="3924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us.mediarelations@roche.com" TargetMode="External"/><Relationship Id="rId22" Type="http://schemas.openxmlformats.org/officeDocument/2006/relationships/hyperlink" Target="mailto:lori.mclaughlin@roche.com" TargetMode="External"/><Relationship Id="rId21" Type="http://schemas.openxmlformats.org/officeDocument/2006/relationships/hyperlink" Target="mailto:krystina.monaco@roche.com" TargetMode="External"/><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oche.com"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agnostics.roche.com/us/en/products/product-category/lab-type/pathology-lab/companion-diagnostics-cdx.html" TargetMode="External"/><Relationship Id="rId8" Type="http://schemas.openxmlformats.org/officeDocument/2006/relationships/hyperlink" Target="https://diagnostics.roche.com/global/en/products/product-category/lab-type/pathology-lab/companion-diagnostics-cdx.html" TargetMode="External"/><Relationship Id="rId11" Type="http://schemas.openxmlformats.org/officeDocument/2006/relationships/hyperlink" Target="https://www.ccjm.org/content/89/5/269" TargetMode="External"/><Relationship Id="rId10" Type="http://schemas.openxmlformats.org/officeDocument/2006/relationships/hyperlink" Target="https://pubmed.ncbi.nlm.nih.gov/30679950/" TargetMode="External"/><Relationship Id="rId13" Type="http://schemas.openxmlformats.org/officeDocument/2006/relationships/hyperlink" Target="https://pubmed.ncbi.nlm.nih.gov/39357127/" TargetMode="External"/><Relationship Id="rId12" Type="http://schemas.openxmlformats.org/officeDocument/2006/relationships/hyperlink" Target="https://pmc.ncbi.nlm.nih.gov/articles/PMC13343830/" TargetMode="External"/><Relationship Id="rId15" Type="http://schemas.openxmlformats.org/officeDocument/2006/relationships/hyperlink" Target="https://www.nordiqc.org/epitope.php?id=11" TargetMode="External"/><Relationship Id="rId14" Type="http://schemas.openxmlformats.org/officeDocument/2006/relationships/hyperlink" Target="https://pubmed.ncbi.nlm.nih.gov/41502549/" TargetMode="External"/><Relationship Id="rId17" Type="http://schemas.openxmlformats.org/officeDocument/2006/relationships/hyperlink" Target="https://pubmed.ncbi.nlm.nih.gov/21475037/" TargetMode="External"/><Relationship Id="rId16" Type="http://schemas.openxmlformats.org/officeDocument/2006/relationships/hyperlink" Target="https://pubmed.ncbi.nlm.nih.gov/19169706/" TargetMode="External"/><Relationship Id="rId19" Type="http://schemas.openxmlformats.org/officeDocument/2006/relationships/hyperlink" Target="https://pubmed.ncbi.nlm.nih.gov/37490416/" TargetMode="External"/><Relationship Id="rId18" Type="http://schemas.openxmlformats.org/officeDocument/2006/relationships/hyperlink" Target="https://diagnostics.roche.com/us/en/products/lab/her2-dual-ish-dna-probe-cocktail-ventana-rtd001251.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cheSans-regular.ttf"/><Relationship Id="rId2" Type="http://schemas.openxmlformats.org/officeDocument/2006/relationships/font" Target="fonts/RocheSans-bold.ttf"/><Relationship Id="rId3" Type="http://schemas.openxmlformats.org/officeDocument/2006/relationships/font" Target="fonts/RocheSans-italic.ttf"/><Relationship Id="rId4" Type="http://schemas.openxmlformats.org/officeDocument/2006/relationships/font" Target="fonts/Roche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yc7G2JgMsCC6ybOftqWSDS4Fng==">CgMxLjAyDmgubTl5dG9qZWdwcDA0Mg5oLmVmOTVxcXNvd2llbTINaC5wam1yZnFkeWt5NTIOaC5lZGJrcmF6OGxrMWoyDmguZjE1dGI1cXEwcGV0Mg5oLjg3ejJlc2I5c29zMTIOaC5oMTB5aXdvazZ4MGkyDmguYXltMHRqanZnMnNvMg5oLnNteWN0eTF6c256YjIOaC5vYmJrMmlwdXl1MXEyDmguaTZxdWJlY3cwMGQxMg5oLnppMmY2ZzR1aTV0eTIOaC5vcTBsczlzZTl2dmYyDmgudmF2eWZucWkzajllMg5oLnpmb2ZmcmZuYjN0ZDIOaC5sajc0Y2c0ODBnMWEyDmgubm5sbHZ0NXd6eTZ0Mg5oLmd3Z2VobW9veGFvdzIOaC40Mnc5N2tkZXhhNW84AHIhMWFXWkNSUUZYNUlWRUpMdkg3bktIbGRBVTVfSC1QTF93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