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CA5D" w14:textId="77777777" w:rsidR="00406A54" w:rsidRDefault="00406A54" w:rsidP="00406A54">
      <w:pPr>
        <w:pStyle w:val="ListParagraph"/>
        <w:numPr>
          <w:ilvl w:val="0"/>
          <w:numId w:val="1"/>
        </w:numPr>
        <w:rPr>
          <w:rFonts w:ascii="Minion" w:hAnsi="Minion"/>
          <w:b/>
          <w:color w:val="8496B0" w:themeColor="text2" w:themeTint="99"/>
        </w:rPr>
      </w:pPr>
      <w:r w:rsidRPr="002D6834">
        <w:rPr>
          <w:rFonts w:ascii="Minion" w:hAnsi="Minion"/>
          <w:b/>
          <w:color w:val="8496B0" w:themeColor="text2" w:themeTint="99"/>
        </w:rPr>
        <w:t>The following Third Party Software Terms and Conditions ONLY apply to cobas Infinity</w:t>
      </w:r>
      <w:bookmarkStart w:id="0" w:name="_GoBack"/>
      <w:bookmarkEnd w:id="0"/>
      <w:r w:rsidRPr="002D6834">
        <w:rPr>
          <w:rFonts w:ascii="Minion" w:hAnsi="Minion"/>
          <w:b/>
          <w:color w:val="8496B0" w:themeColor="text2" w:themeTint="99"/>
        </w:rPr>
        <w:t xml:space="preserve"> and Roche Middleware Solutions:</w:t>
      </w:r>
    </w:p>
    <w:p w14:paraId="272A3943" w14:textId="77777777" w:rsidR="00406A54" w:rsidRDefault="00406A54" w:rsidP="00406A54">
      <w:pPr>
        <w:pStyle w:val="ListParagraph"/>
        <w:numPr>
          <w:ilvl w:val="1"/>
          <w:numId w:val="1"/>
        </w:numPr>
        <w:rPr>
          <w:rFonts w:ascii="Minion" w:hAnsi="Minion"/>
          <w:b/>
          <w:color w:val="8496B0" w:themeColor="text2" w:themeTint="99"/>
        </w:rPr>
      </w:pPr>
      <w:r>
        <w:rPr>
          <w:rFonts w:ascii="Minion" w:hAnsi="Minion"/>
          <w:b/>
          <w:color w:val="8496B0" w:themeColor="text2" w:themeTint="99"/>
        </w:rPr>
        <w:t>Specific to cobas Infinity only:</w:t>
      </w:r>
    </w:p>
    <w:p w14:paraId="19E39356" w14:textId="77777777" w:rsidR="00406A54" w:rsidRPr="00C3248F" w:rsidRDefault="00406A54" w:rsidP="00406A54">
      <w:pPr>
        <w:ind w:left="360"/>
        <w:rPr>
          <w:rFonts w:cs="Arial"/>
          <w:szCs w:val="20"/>
        </w:rPr>
      </w:pPr>
      <w:r w:rsidRPr="00C3248F">
        <w:rPr>
          <w:rFonts w:cs="Arial"/>
          <w:szCs w:val="20"/>
          <w:u w:val="single"/>
        </w:rPr>
        <w:t>InterSystems Cache Database</w:t>
      </w:r>
      <w:r w:rsidRPr="00C3248F">
        <w:rPr>
          <w:rFonts w:cs="Arial"/>
          <w:szCs w:val="20"/>
        </w:rPr>
        <w:t>. Customer acknowledges that the Software will be delivered with, and works in conjunction with, InterSystems Caché database software, and Customer agrees to the INTERSYSTEMS END USER LICENSE AND SERVICES AGREEMENT (“EULA”) contained , below.</w:t>
      </w:r>
    </w:p>
    <w:p w14:paraId="4A981578" w14:textId="77777777" w:rsidR="00406A54" w:rsidRPr="00C3248F" w:rsidRDefault="00406A54" w:rsidP="00406A54">
      <w:pPr>
        <w:pStyle w:val="NormalWeb"/>
        <w:shd w:val="clear" w:color="auto" w:fill="FFFFFF"/>
        <w:ind w:left="720"/>
        <w:rPr>
          <w:rFonts w:cs="Arial"/>
          <w:szCs w:val="20"/>
        </w:rPr>
      </w:pPr>
      <w:r w:rsidRPr="00C3248F">
        <w:rPr>
          <w:rFonts w:cs="Arial"/>
          <w:szCs w:val="20"/>
        </w:rPr>
        <w:t>i. The End User License &amp; Service Agreement (“EULA”) is between the InterSystems entity identified on the attached order form (“ISC”) and the user identified on the attached order form (hereinafter “Licensee”) that has ordered license(s) to use ISC’s proprietary software (the “Licensed Software”) and/or services (“Services”) from ISC through Roche pursuant to the order form on page one. Licensee must read the following terms and conditions of this EULA carefully before using the Licensed Software. LICENSEE ACCEPTS AND AGREE TO BE BOUND BY TERMS OF THIS EULA BY USING THE SOFTWARE. If Licensee is accepting this EULA on behalf of another person or a company or other legal entity, Licensee represents and warrants that Licensee has full authority to bind that person, company, or legal entity. If Licensee is not willing to be bound by this EULA, the Licensed Software respectively the AP’ Software must be promptly returned to ISC or the AP.</w:t>
      </w:r>
    </w:p>
    <w:p w14:paraId="477C8485" w14:textId="77777777" w:rsidR="00406A54" w:rsidRPr="00C3248F" w:rsidRDefault="00406A54" w:rsidP="00406A54">
      <w:pPr>
        <w:pStyle w:val="NormalWeb"/>
        <w:shd w:val="clear" w:color="auto" w:fill="FFFFFF"/>
        <w:ind w:left="720"/>
        <w:rPr>
          <w:rFonts w:cs="Arial"/>
          <w:szCs w:val="20"/>
        </w:rPr>
      </w:pPr>
      <w:r w:rsidRPr="00C3248F">
        <w:rPr>
          <w:rFonts w:cs="Arial"/>
          <w:szCs w:val="20"/>
        </w:rPr>
        <w:t>ii. Subject to Licensees consent to ISC and Roche’s terms, ISC grants to Licensee a nontransferable and nonexclusive 30-year license to use the Licensed Software internally solely for Licensee’s internal business (the “License”) For the avoidance of doubt, the Licensed Software shall not include the open source or other third party software that may be shipped with, installed with, or used in conjunction with ISC’s proprietary software. No license shall be granted upon the physical delivery of any software to Licensee. The granting of each License is subject to the approval of ISC. A Trade In shall be deemed to be the cancellation of Licensees old License and the granting of a new License. Services ordered by Licensee shall be provided in accordance with the terms and conditions contained in ISC’s Price List (“Price List”) in effect on the date such Services are rendered, provided that ISC has received the appropriate fee therefore (“Service Fee”). If Licensee ordered a License or Services through an Application Partner (“AP”), Licensee may only use the Licensed Software and Services in conjunction with such AP’s software. To enter into a License, Licensee agrees to the terms herein by using the Licensed Software</w:t>
      </w:r>
    </w:p>
    <w:p w14:paraId="0EF4B9B0" w14:textId="77777777" w:rsidR="00406A54" w:rsidRPr="00C3248F" w:rsidRDefault="00406A54" w:rsidP="00406A54">
      <w:pPr>
        <w:pStyle w:val="NormalWeb"/>
        <w:shd w:val="clear" w:color="auto" w:fill="FFFFFF"/>
        <w:ind w:left="720"/>
        <w:rPr>
          <w:rFonts w:cs="Arial"/>
          <w:szCs w:val="20"/>
        </w:rPr>
      </w:pPr>
      <w:r w:rsidRPr="00C3248F">
        <w:rPr>
          <w:rFonts w:cs="Arial"/>
          <w:szCs w:val="20"/>
        </w:rPr>
        <w:t xml:space="preserve">iii. ISC hereby warrants to Licensee that (i) the Licensed Software will operate substantially in accordance with ISC’s documentation relating thereto for one (1) year following the Effective Date, and (ii) all Services shall be performed in a manner consistent with industry standards. The foregoing warranties are conditioned upon the use of the Licensed Software strictly in accordance with ISC’s documentation and instructions and upon the absence of any misuse, damage, alteration or modification thereto. ISC SHALL NOT BE DEEMED TO HAVE MADE ANY OTHER REPRESENTATION OR WARRANTY, EXPRESS OR IMPLIED, TO LICENSEE AS TO THE CONDITION, MERCHANTABILITY, TITLE, NON- INFRINGEMENT, DESIGN, OPERATION OR FITNESS FOR A PARTICULAR PURPOSE OF THE LICENSED SOFTWARE OR SERVICES. Licensee’s exclusive remedy for a breach of the above warranties shall be for ISC to use reasonable efforts to repair, replace or re-perform any non-conforming Licensed Software or Services, as applicable. In the event of a valid claim that any Licensed Software that has not been altered, modified, misused or damaged infringes upon the intellectual property rights of a third party when used in accordance with ISC’s documentation and instructions, ISC shall either (a) modify the Licensed Software, (b) procure a license for Licensee to use the Licensed Software or (c) terminate Licensee’s License, at ISC’s option. THE LIMITED WARRANTY HEREIN DOES NOT INCLUDE TECHNICAL </w:t>
      </w:r>
      <w:r w:rsidRPr="00C3248F">
        <w:rPr>
          <w:rFonts w:cs="Arial"/>
          <w:szCs w:val="20"/>
        </w:rPr>
        <w:lastRenderedPageBreak/>
        <w:t>ASSISTANCE AND SOFTWARE UPDATE SERVICES AND IS NOT A SUBSTITUTE FOR SUCH SERVICES, WHICH ARE AVAILABLE FOR A SEPARATE FEE.</w:t>
      </w:r>
    </w:p>
    <w:p w14:paraId="5D844078" w14:textId="77777777" w:rsidR="00406A54" w:rsidRPr="00C3248F" w:rsidRDefault="00406A54" w:rsidP="00406A54">
      <w:pPr>
        <w:pStyle w:val="NormalWeb"/>
        <w:shd w:val="clear" w:color="auto" w:fill="FFFFFF"/>
        <w:ind w:left="720"/>
        <w:rPr>
          <w:rFonts w:cs="Arial"/>
          <w:szCs w:val="20"/>
        </w:rPr>
      </w:pPr>
      <w:r w:rsidRPr="00C3248F">
        <w:rPr>
          <w:rFonts w:cs="Arial"/>
          <w:szCs w:val="20"/>
        </w:rPr>
        <w:t>iv. ISC’s liability to Licensee shall in no event exceed the License Fees or Services Fees received by ISC in respect of the specific Licensed Software or Services on account of which such liability arose. In no event shall ISC be liable to Licensee for any special, incidental, exemplary, indirect or consequential damages or lost profits.</w:t>
      </w:r>
    </w:p>
    <w:p w14:paraId="35AA29E4" w14:textId="77777777" w:rsidR="00406A54" w:rsidRPr="00C3248F" w:rsidRDefault="00406A54" w:rsidP="00406A54">
      <w:pPr>
        <w:pStyle w:val="NormalWeb"/>
        <w:shd w:val="clear" w:color="auto" w:fill="FFFFFF"/>
        <w:ind w:left="720"/>
        <w:rPr>
          <w:rFonts w:cs="Arial"/>
          <w:szCs w:val="20"/>
        </w:rPr>
      </w:pPr>
      <w:r w:rsidRPr="00C3248F">
        <w:rPr>
          <w:rFonts w:cs="Arial"/>
          <w:szCs w:val="20"/>
        </w:rPr>
        <w:t>v. Either party may terminate this Agreement upon the other’s breach. Licensee shall be liable for all fees relating to Licensed Software or Services provided prior to termination, and Sections iv, v, vi, vii and ix of this Section 4(b) shall survive.</w:t>
      </w:r>
    </w:p>
    <w:p w14:paraId="5C15D1B0" w14:textId="77777777" w:rsidR="00406A54" w:rsidRPr="00C3248F" w:rsidRDefault="00406A54" w:rsidP="00406A54">
      <w:pPr>
        <w:pStyle w:val="NormalWeb"/>
        <w:shd w:val="clear" w:color="auto" w:fill="FFFFFF"/>
        <w:ind w:left="720"/>
        <w:rPr>
          <w:rFonts w:cs="Arial"/>
          <w:szCs w:val="20"/>
        </w:rPr>
      </w:pPr>
      <w:r w:rsidRPr="00C3248F">
        <w:rPr>
          <w:rFonts w:cs="Arial"/>
          <w:szCs w:val="20"/>
        </w:rPr>
        <w:t>vi. The Licensed Software and related documentation are and shall remain the sole property of ISC. Licensee may make copies of the Licensed Software for backup and archival purposes only. Licensee agrees not to (i) decompile, disassemble, or reverse engineer the Licensed Software or (ii) disclose to others the Licensed Software or any data or information relating to the Licensed Software. In addition, Licensee agrees not to use or disclose any confidential information provided to Licensee by ISC or its affiliates relating to the Licensed Software, Services or this business relationship. Licensee agrees to allow ISC or its representatives to audit Licensee’s use of the Licensed Software upon five (5) days’ notice by ISC, including providing access to Licensee’s premises.</w:t>
      </w:r>
    </w:p>
    <w:p w14:paraId="4C1A402D" w14:textId="77777777" w:rsidR="00406A54" w:rsidRPr="00C3248F" w:rsidRDefault="00406A54" w:rsidP="00406A54">
      <w:pPr>
        <w:pStyle w:val="NormalWeb"/>
        <w:shd w:val="clear" w:color="auto" w:fill="FFFFFF"/>
        <w:ind w:left="720"/>
        <w:rPr>
          <w:rFonts w:cs="Arial"/>
          <w:szCs w:val="20"/>
        </w:rPr>
      </w:pPr>
      <w:r w:rsidRPr="00C3248F">
        <w:rPr>
          <w:rFonts w:cs="Arial"/>
          <w:szCs w:val="20"/>
        </w:rPr>
        <w:t>vii. This Agreement shall be governed by and construed in accordance with the laws of, and the parties agree to submit to exclusive jurisdiction in, Massachusetts, USA.</w:t>
      </w:r>
    </w:p>
    <w:p w14:paraId="261CE620" w14:textId="77777777" w:rsidR="00406A54" w:rsidRPr="00C3248F" w:rsidRDefault="00406A54" w:rsidP="00406A54">
      <w:pPr>
        <w:pStyle w:val="NormalWeb"/>
        <w:shd w:val="clear" w:color="auto" w:fill="FFFFFF"/>
        <w:ind w:left="720"/>
        <w:rPr>
          <w:rFonts w:cs="Arial"/>
          <w:szCs w:val="20"/>
        </w:rPr>
      </w:pPr>
      <w:r w:rsidRPr="00C3248F">
        <w:rPr>
          <w:rFonts w:cs="Arial"/>
          <w:szCs w:val="20"/>
        </w:rPr>
        <w:t>viii. Licensee agrees to comply with all applicable laws, including, but not limited to, U.S. export control or similar laws with respect to use of the Licensed Software and technical data. The English version of this Agreement shall control unless otherwise required by local law.</w:t>
      </w:r>
    </w:p>
    <w:p w14:paraId="3DB5230E" w14:textId="77777777" w:rsidR="00406A54" w:rsidRDefault="00406A54" w:rsidP="00406A54">
      <w:pPr>
        <w:pStyle w:val="NormalWeb"/>
        <w:shd w:val="clear" w:color="auto" w:fill="FFFFFF"/>
        <w:ind w:left="720"/>
        <w:rPr>
          <w:rFonts w:cs="Arial"/>
          <w:szCs w:val="20"/>
        </w:rPr>
      </w:pPr>
      <w:r w:rsidRPr="00C3248F">
        <w:rPr>
          <w:rFonts w:cs="Arial"/>
          <w:szCs w:val="20"/>
        </w:rPr>
        <w:t>ix. These terms, together with the order form and the version of the Price List (including any applicable terms and conditions) in effect as of the Effective Date (or, in the case of Services, as of the date such Services are provided) constitute the entire agreement between Licensee and ISC relating to the subject matter hereof and supersede any prior understandings between us as well as any purchase orders or similar documents that may be submitted to ISC. ISC shall have the right to transfer or assign this Agreement without Licensee’s consent. This Agreement may only be modified or amended by a writing signed by both parties.</w:t>
      </w:r>
    </w:p>
    <w:p w14:paraId="690EAA39" w14:textId="77777777" w:rsidR="00406A54" w:rsidRPr="002D6834" w:rsidRDefault="00406A54" w:rsidP="00406A54">
      <w:pPr>
        <w:pStyle w:val="ListParagraph"/>
        <w:numPr>
          <w:ilvl w:val="1"/>
          <w:numId w:val="1"/>
        </w:numPr>
        <w:rPr>
          <w:rFonts w:ascii="Minion" w:hAnsi="Minion"/>
          <w:b/>
          <w:color w:val="8496B0" w:themeColor="text2" w:themeTint="99"/>
        </w:rPr>
      </w:pPr>
      <w:r>
        <w:rPr>
          <w:rFonts w:ascii="Minion" w:hAnsi="Minion"/>
          <w:b/>
          <w:color w:val="8496B0" w:themeColor="text2" w:themeTint="99"/>
        </w:rPr>
        <w:t>Specific to Roche Middleware Solutions only:</w:t>
      </w:r>
    </w:p>
    <w:p w14:paraId="72A53A40" w14:textId="77777777" w:rsidR="00406A54" w:rsidRPr="00C3248F" w:rsidRDefault="00406A54" w:rsidP="00406A54">
      <w:pPr>
        <w:pStyle w:val="NormalWeb"/>
        <w:shd w:val="clear" w:color="auto" w:fill="FFFFFF"/>
        <w:ind w:left="720"/>
        <w:rPr>
          <w:rFonts w:cs="Arial"/>
          <w:szCs w:val="20"/>
        </w:rPr>
      </w:pPr>
      <w:r w:rsidRPr="00C74C56">
        <w:rPr>
          <w:szCs w:val="20"/>
        </w:rPr>
        <w:t xml:space="preserve">Data Innovations Instrument Manager Terms of Sublicense/Use:  Data Innovations, Inc., owns all intellectual property rights in the Instrument Manager software included in the Software, whether directly or through a sublicense arrangement with an authorized business partner of Data Innovations.  As an authorized business partner of Data Innovations, Inc., Roche is authorized to grant sublicenses to use the Instrument Manager software to Customer.  CUSTOMER UNDERSTANDS AND AGREES THAT CUSTOMER IS A SUBLICENSEE OF ROCHE PERMITTED TO USE THE SOFTWARE AND THE INSTRUMENT MANAGER INCORPORATED THEREIN ONLY IN ACCORDANCE WITH THE TERMS OF THE SOFTWARE LICENSE INCORPORATED INTO THE INSTRUMENT MANAGER SOFTWARE.  CUSTOMER FURTHER ACKNOWLEDGES THAT CUSTOMER’S USE OF THE INSTRUMENT MANAGER SOFTWARE CONSTITUTES ACCEPTANCE OF ALL OF THE TERMS AND CONDITIONS OF USE CONTAINED IN THE INSTRUMENT MANAGER SOFTWARE  INCLUDING, IN PARTICULAR, THE PROVISIONS OUTLINING USE, TRANSFERABILITY, WARRANTY AND LIABILITY.  CUSTOMER AGREES THAT THE EMBEDDED SOFTWARE SUBLICENSE TERMS ARE ENFORCEABLE AGAINST CUSTOMER AS A PART OF THIS SCHEDULE </w:t>
      </w:r>
      <w:r w:rsidRPr="00C74C56">
        <w:rPr>
          <w:szCs w:val="20"/>
        </w:rPr>
        <w:lastRenderedPageBreak/>
        <w:t>AND CUSTOMER’S USE OF THIS SOFTWARE EVIDENCES THIS AGREEMENT.  The terms of the Instrument Manager software sublicense will survive the termination of the underlying Schedule and Master Agreement and shall remain in effect for as long as Customer continues to use the Software</w:t>
      </w:r>
    </w:p>
    <w:p w14:paraId="47B89885" w14:textId="77777777" w:rsidR="00406A54" w:rsidRPr="00C3248F" w:rsidRDefault="00406A54" w:rsidP="00406A54">
      <w:pPr>
        <w:pStyle w:val="NormalWeb"/>
        <w:shd w:val="clear" w:color="auto" w:fill="FFFFFF"/>
        <w:ind w:firstLine="720"/>
        <w:rPr>
          <w:szCs w:val="20"/>
          <w:highlight w:val="green"/>
          <w:u w:val="single"/>
        </w:rPr>
      </w:pPr>
    </w:p>
    <w:p w14:paraId="0FBFF61E" w14:textId="65333B7E" w:rsidR="00406A54" w:rsidRPr="002D6834" w:rsidRDefault="00406A54" w:rsidP="007F1B9B">
      <w:pPr>
        <w:pStyle w:val="NormalWeb"/>
        <w:numPr>
          <w:ilvl w:val="2"/>
          <w:numId w:val="1"/>
        </w:numPr>
        <w:shd w:val="clear" w:color="auto" w:fill="FFFFFF"/>
        <w:rPr>
          <w:rFonts w:cs="Arial"/>
          <w:b/>
          <w:szCs w:val="20"/>
        </w:rPr>
      </w:pPr>
      <w:r w:rsidRPr="002D6834">
        <w:rPr>
          <w:b/>
          <w:color w:val="8496B0" w:themeColor="text2" w:themeTint="99"/>
          <w:szCs w:val="20"/>
        </w:rPr>
        <w:t>The following Third Party Software Terms and Conditions ONLY apply to Virtuoso:</w:t>
      </w:r>
      <w:r w:rsidRPr="002D6834">
        <w:rPr>
          <w:b/>
          <w:szCs w:val="20"/>
        </w:rPr>
        <w:t xml:space="preserve"> </w:t>
      </w:r>
    </w:p>
    <w:p w14:paraId="5251A188" w14:textId="77777777" w:rsidR="00406A54" w:rsidRPr="00C3248F" w:rsidRDefault="00406A54" w:rsidP="00406A54">
      <w:pPr>
        <w:pStyle w:val="BodyText2"/>
        <w:pBdr>
          <w:bottom w:val="none" w:sz="0" w:space="0" w:color="auto"/>
        </w:pBdr>
        <w:spacing w:line="240" w:lineRule="auto"/>
        <w:ind w:left="720"/>
        <w:rPr>
          <w:rFonts w:ascii="Minion" w:hAnsi="Minion" w:cs="Arial"/>
          <w:sz w:val="20"/>
        </w:rPr>
      </w:pPr>
      <w:r w:rsidRPr="00C3248F">
        <w:rPr>
          <w:rFonts w:ascii="Minion" w:hAnsi="Minion" w:cs="Arial"/>
          <w:sz w:val="20"/>
        </w:rPr>
        <w:t>Customer agrees and acknowledges that:</w:t>
      </w:r>
    </w:p>
    <w:p w14:paraId="20AEC6E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use of the Oracle Programs is restricted to the scope of the Software and to the business operations of Customer;</w:t>
      </w:r>
    </w:p>
    <w:p w14:paraId="6C128135"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following are prohibited (a) the transfer of the Oracle Programs except for temporary transfer in the event of computer malfunction if the Software embeds the Oracle Programs in a physical device, (b) Customer assigning, giving, or transferring the Oracle Programs or an interest in them to another individual or entity (and if Customer grants a security interest in the Oracle Programs, the secured party has no right to use or transfer the Oracle Programs), (c) timesharing, service bureau, subscription service or rental use of the Oracle Programs and (d) title to the Oracle Programs passing to Customer or any other party;</w:t>
      </w:r>
    </w:p>
    <w:p w14:paraId="1CF3CBE9"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reverse engineering (unless required by law for interoperability), disassembly or decompilation of the Oracle Programs and duplication of the Oracle Programs except for a sufficient number of copies of each Oracle Program for the Customer’s licensed use and one copy of each Oracle Program media are prohibited;</w:t>
      </w:r>
    </w:p>
    <w:p w14:paraId="4FE274A6"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to the extent permitted by applicable law, Oracle’s liability for any damages, whether direct, indirect, incidental, or consequential, arising from the use of the Oracle Programs is disclaimed;</w:t>
      </w:r>
    </w:p>
    <w:p w14:paraId="3DA1D753"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at the termination of the Agreement, Customer shall discontinue use and destroy or return to Roche Diagnostics Corporation all copies of the Oracle Programs and related documentation;</w:t>
      </w:r>
    </w:p>
    <w:p w14:paraId="04CE6EE3"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publication of any results of benchmark tests run on the Oracle Programs is prohibited;</w:t>
      </w:r>
    </w:p>
    <w:p w14:paraId="7E80A4D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Customer shall comply fully with all relevant export laws and regulations of the United States and other applicable export and import laws to assure that neither the Oracle Programs, nor any direct product thereof, are exported, directly or indirectly, in violation of applicable laws;</w:t>
      </w:r>
    </w:p>
    <w:p w14:paraId="2841F7DF"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Customer is on notice that the Oracle Programs are subject to a restricted license and can only be used in conjunction with the Software and that Customer is not permitted to modify the Oracle Programs;</w:t>
      </w:r>
    </w:p>
    <w:p w14:paraId="05CEFF68"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Oracle is not required to perform any obligations or incur any liability;</w:t>
      </w:r>
    </w:p>
    <w:p w14:paraId="7128E0A4"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Roche Diagnostics Corporation is permitted to audit Customer’s use of the Oracle Programs and report such use to Oracle or may assign such right to audit Customer’s use of the Oracle Programs to Oracle;</w:t>
      </w:r>
    </w:p>
    <w:p w14:paraId="483EE5B2" w14:textId="77777777" w:rsidR="00406A54" w:rsidRPr="00AE47F5"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Oracle is a third party beneficiary of the Agreement;</w:t>
      </w:r>
    </w:p>
    <w:p w14:paraId="2FFEA9B8" w14:textId="77777777" w:rsidR="00406A54" w:rsidRDefault="00406A54" w:rsidP="00406A54">
      <w:pPr>
        <w:pStyle w:val="BodyText2"/>
        <w:numPr>
          <w:ilvl w:val="0"/>
          <w:numId w:val="2"/>
        </w:numPr>
        <w:pBdr>
          <w:bottom w:val="none" w:sz="0" w:space="0" w:color="auto"/>
        </w:pBdr>
        <w:spacing w:line="240" w:lineRule="auto"/>
        <w:rPr>
          <w:rFonts w:ascii="Minion" w:hAnsi="Minion" w:cs="Arial"/>
          <w:sz w:val="20"/>
        </w:rPr>
      </w:pPr>
      <w:r w:rsidRPr="00C3248F">
        <w:rPr>
          <w:rFonts w:ascii="Minion" w:hAnsi="Minion" w:cs="Arial"/>
          <w:sz w:val="20"/>
        </w:rPr>
        <w:t xml:space="preserve"> the Uniform Computer Information Transactions Act does not apply to the Agreement;</w:t>
      </w:r>
    </w:p>
    <w:p w14:paraId="57C1B954" w14:textId="17FBEB5C" w:rsidR="00E5315E" w:rsidRPr="007F1B9B" w:rsidRDefault="00406A54" w:rsidP="00406A54">
      <w:pPr>
        <w:pStyle w:val="BodyText2"/>
        <w:numPr>
          <w:ilvl w:val="0"/>
          <w:numId w:val="2"/>
        </w:numPr>
        <w:pBdr>
          <w:bottom w:val="none" w:sz="0" w:space="0" w:color="auto"/>
        </w:pBdr>
        <w:spacing w:line="240" w:lineRule="auto"/>
        <w:rPr>
          <w:rFonts w:ascii="Minion" w:hAnsi="Minion" w:cs="Arial"/>
          <w:sz w:val="24"/>
        </w:rPr>
      </w:pPr>
      <w:r w:rsidRPr="007F1B9B">
        <w:rPr>
          <w:rFonts w:ascii="Minion" w:hAnsi="Minion" w:cs="Arial"/>
          <w:sz w:val="20"/>
        </w:rPr>
        <w:t>some Oracle Programs may include source code that Oracle may provide as part of its standard shipment of such programs, which source code shall be governed by the terms of the Agreement.</w:t>
      </w:r>
    </w:p>
    <w:p w14:paraId="3680F12E" w14:textId="0BB13380" w:rsidR="007F1B9B" w:rsidRPr="007F1B9B" w:rsidRDefault="007F1B9B" w:rsidP="007F1B9B">
      <w:pPr>
        <w:pStyle w:val="BodyText2"/>
        <w:pBdr>
          <w:bottom w:val="none" w:sz="0" w:space="0" w:color="auto"/>
        </w:pBdr>
        <w:spacing w:line="240" w:lineRule="auto"/>
        <w:rPr>
          <w:rFonts w:ascii="Minion" w:hAnsi="Minion" w:cs="Arial"/>
          <w:color w:val="5B9BD5" w:themeColor="accent1"/>
          <w:sz w:val="20"/>
        </w:rPr>
      </w:pPr>
    </w:p>
    <w:p w14:paraId="60CCD70A" w14:textId="77777777" w:rsidR="007F1B9B" w:rsidRDefault="007F1B9B" w:rsidP="007F1B9B">
      <w:pPr>
        <w:pStyle w:val="ListParagraph"/>
        <w:spacing w:after="120"/>
        <w:ind w:left="0"/>
        <w:jc w:val="center"/>
        <w:rPr>
          <w:rFonts w:ascii="Minion" w:hAnsi="Minion" w:cs="Arial"/>
          <w:color w:val="5B9BD5" w:themeColor="accent1"/>
        </w:rPr>
      </w:pPr>
      <w:r w:rsidRPr="007F1B9B">
        <w:rPr>
          <w:rFonts w:ascii="Minion" w:hAnsi="Minion" w:cs="Arial"/>
          <w:color w:val="5B9BD5" w:themeColor="accent1"/>
        </w:rPr>
        <w:tab/>
        <w:t xml:space="preserve">(d) </w:t>
      </w:r>
      <w:r>
        <w:rPr>
          <w:rFonts w:ascii="Minion" w:hAnsi="Minion" w:cs="Arial"/>
          <w:color w:val="5B9BD5" w:themeColor="accent1"/>
        </w:rPr>
        <w:t>Applicable to the NAVIFY Clinical Trial Match and Publication Search applications</w:t>
      </w:r>
    </w:p>
    <w:p w14:paraId="1CD0D39F" w14:textId="5169BEE2" w:rsidR="007F1B9B" w:rsidRPr="007F1B9B" w:rsidRDefault="007F1B9B" w:rsidP="007F1B9B">
      <w:pPr>
        <w:pStyle w:val="ListParagraph"/>
        <w:spacing w:after="120"/>
        <w:ind w:left="0"/>
        <w:jc w:val="center"/>
        <w:rPr>
          <w:rFonts w:ascii="Arial" w:hAnsi="Arial" w:cs="Arial"/>
          <w:b/>
          <w:color w:val="5B9BD5" w:themeColor="accent1"/>
          <w:sz w:val="16"/>
          <w:szCs w:val="16"/>
        </w:rPr>
      </w:pPr>
      <w:r w:rsidRPr="007F1B9B">
        <w:rPr>
          <w:rFonts w:ascii="Arial" w:hAnsi="Arial" w:cs="Arial"/>
          <w:b/>
          <w:color w:val="5B9BD5" w:themeColor="accent1"/>
          <w:sz w:val="16"/>
          <w:szCs w:val="16"/>
        </w:rPr>
        <w:t>MOLECULAR MATCH END USER LICENSE AGREEMENT (‘MM EULA’)</w:t>
      </w:r>
    </w:p>
    <w:p w14:paraId="1D20BBCC" w14:textId="2E122D82" w:rsidR="00FD7173" w:rsidRPr="00800B02" w:rsidRDefault="00FD7173" w:rsidP="00FD7173"/>
    <w:p w14:paraId="0BD155C8" w14:textId="77777777" w:rsidR="00FD7173" w:rsidRPr="00FD7173" w:rsidRDefault="00FD7173" w:rsidP="00FD7173">
      <w:pPr>
        <w:jc w:val="both"/>
        <w:rPr>
          <w:szCs w:val="20"/>
        </w:rPr>
      </w:pPr>
      <w:r w:rsidRPr="00FD7173">
        <w:rPr>
          <w:szCs w:val="20"/>
        </w:rPr>
        <w:t xml:space="preserve">IMPORTANT:  PLEASE READ BEFORE USING OR OTHERWISE ACCESSING THE MOLECULAR MATCH, INC. ("MOLECULAR MATCH") SERVICE ("SERVICE"). BY EXECUTING A ORDER, QUOTE OR OTHER ORDERING DOCUMENT (“ORDER”) WITH MOLECULAR MATCH, OR OTHERWISE ACCESSING OR USING THE SERVICE , THE ENTITY OR COMPANY THAT YOU REPRESENT ("LICENSEE") (BOTH INDIVIDUAL </w:t>
      </w:r>
      <w:r w:rsidRPr="00FD7173">
        <w:rPr>
          <w:szCs w:val="20"/>
        </w:rPr>
        <w:lastRenderedPageBreak/>
        <w:t>DOWNLOADING THE PRODUCT AND ANY LEGAL ENTITY ON WHOSE BEHALF SUCH INDIVIDUAL IS ACTING) IS UNCONDITIONALLY CONSENTING TO BE BOUND BY AND IS BECOMING A PARTY TO THIS LICENSE AGREEMENT ("AGREEMENT") WITH MOLECULAR MATCH.</w:t>
      </w:r>
    </w:p>
    <w:p w14:paraId="78D496DF" w14:textId="77777777" w:rsidR="00FD7173" w:rsidRPr="00FD7173" w:rsidRDefault="00FD7173" w:rsidP="00FD7173">
      <w:pPr>
        <w:jc w:val="both"/>
        <w:rPr>
          <w:szCs w:val="20"/>
        </w:rPr>
      </w:pPr>
      <w:r w:rsidRPr="00FD7173">
        <w:rPr>
          <w:szCs w:val="20"/>
        </w:rPr>
        <w:t xml:space="preserve"> 1.</w:t>
      </w:r>
      <w:r w:rsidRPr="00FD7173">
        <w:rPr>
          <w:szCs w:val="20"/>
        </w:rPr>
        <w:tab/>
        <w:t>SERVICE LICENSE GRANT. Subject to the terms of this Agreement, Molecular Match hereby grants Licensee a non-sublicensable, non-transferable, nonexclusive license to, during the term of and applicable Order, internally use the Service ("Service") only for receiving Clinical Trials, Therapeutics and Publications (“Data”) and only in accordance with any Molecular Match-provided documentation that accompanies it.  Licensee may use the Data for its own purposes – including to benefit third parties, such as patients (“Licensee Subjects”). If Licensee is provided with, or creates, any passwords or other access credentials – it will not allow any third party to use such passwords/credentials.</w:t>
      </w:r>
    </w:p>
    <w:p w14:paraId="0EACD237" w14:textId="77777777" w:rsidR="00FD7173" w:rsidRPr="00FD7173" w:rsidRDefault="00FD7173" w:rsidP="00FD7173">
      <w:pPr>
        <w:jc w:val="both"/>
        <w:rPr>
          <w:szCs w:val="20"/>
        </w:rPr>
      </w:pPr>
      <w:r w:rsidRPr="00FD7173">
        <w:rPr>
          <w:szCs w:val="20"/>
        </w:rPr>
        <w:t>2.</w:t>
      </w:r>
      <w:r w:rsidRPr="00FD7173">
        <w:rPr>
          <w:szCs w:val="20"/>
        </w:rPr>
        <w:tab/>
        <w:t>LICENSE RESTRICTIONS. Except as expressly and unambiguously permitted by this Agreement, Licensee shall not, nor permit anyone else to, directly or indirectly:  (i) sell, license, sub-license, copy,  modify, distribute  or otherwise transfer in whole or in part the Service; (ii) reverse engineer, disassemble, decompile or otherwise attempt to discover the source code or structure, sequence and organization of the Service (except where the foregoing is expressly prohibited by applicable local law, and then only to  the  extent  so prohibited); (iii) rent, lease, or use the Service for timesharing or service bureau purposes, provide, disclose, divulge or make available to, or permit use of the Service in whole or in part by or for, any third party without Molecular Match’s prior written consent; or (iv) use the Services to help develop any competitive products or services. To the extent the Service is being provided pursuant to an evaluation agreement with Molecular Match, the Service will only be used for internal evaluation purposes (including, the Data will only be used for Licensee’s own internal reference and not disclosed to any third party). Licensee shall maintain and not remove or obscure any proprietary notices on the Service.  As between the parties, title, ownership rights, and intellectual property rights in and to the Service, and any copies or portions thereof, shall remain in Molecular Match. Licensee understands that Molecular Match may modify or discontinue offering the Service at any time.  Licensee is not granted any rights to any trademarks or service marks of Molecular Match.  Molecular Match retains all rights not expressly granted to you in this Agreements. This Agreement does not give Licensee any rights not expressly granted herein.</w:t>
      </w:r>
    </w:p>
    <w:p w14:paraId="17093C5C" w14:textId="77777777" w:rsidR="00FD7173" w:rsidRPr="00FD7173" w:rsidRDefault="00FD7173" w:rsidP="00FD7173">
      <w:pPr>
        <w:jc w:val="both"/>
        <w:rPr>
          <w:szCs w:val="20"/>
        </w:rPr>
      </w:pPr>
      <w:r w:rsidRPr="00FD7173">
        <w:rPr>
          <w:szCs w:val="20"/>
        </w:rPr>
        <w:t>3.</w:t>
      </w:r>
      <w:r w:rsidRPr="00FD7173">
        <w:rPr>
          <w:szCs w:val="20"/>
        </w:rPr>
        <w:tab/>
        <w:t>CONFIDENTIALITY.  All information disclosed by Molecular Match to Licensee that Molecular Match identifies as confidential, or that Licensee should otherwise reasonably understand to be confidential, shall be Molecular Match’s “Confidential Information”. Confidential Information will not be disclosed to any third party or used for any purpose other than for the purposes of this Agreement. The foregoing restrictions will not apply to the Data or any other information that is generally available to the public without the fault of Licensee.</w:t>
      </w:r>
    </w:p>
    <w:p w14:paraId="585D479F" w14:textId="77777777" w:rsidR="00FD7173" w:rsidRPr="00FD7173" w:rsidRDefault="00FD7173" w:rsidP="00FD7173">
      <w:pPr>
        <w:jc w:val="both"/>
        <w:rPr>
          <w:szCs w:val="20"/>
        </w:rPr>
      </w:pPr>
      <w:r w:rsidRPr="00FD7173">
        <w:rPr>
          <w:szCs w:val="20"/>
        </w:rPr>
        <w:t>4.</w:t>
      </w:r>
      <w:r w:rsidRPr="00FD7173">
        <w:rPr>
          <w:szCs w:val="20"/>
        </w:rPr>
        <w:tab/>
        <w:t>SUPPORT.  Except to the extent set forth in an applicable Order and subject to all applicable fees), this Agreement does not entitle Licensee to any support, upgrades, patches, enhancements, or fixes for the Service (collectively, "Support"). Unless support terms are attached to, or referenced in, an applicable Order, any such Support for the Service that may be made available by Molecular Match shall be provided in accordance with Molecular Match standard practices. Support, if any, shall become part of the Service and subject to this Agreement.</w:t>
      </w:r>
    </w:p>
    <w:p w14:paraId="0D91936E" w14:textId="77777777" w:rsidR="00FD7173" w:rsidRPr="00FD7173" w:rsidRDefault="00FD7173" w:rsidP="00FD7173">
      <w:pPr>
        <w:jc w:val="both"/>
        <w:rPr>
          <w:szCs w:val="20"/>
        </w:rPr>
      </w:pPr>
      <w:r w:rsidRPr="00FD7173">
        <w:rPr>
          <w:szCs w:val="20"/>
        </w:rPr>
        <w:t>5.</w:t>
      </w:r>
      <w:r w:rsidRPr="00FD7173">
        <w:rPr>
          <w:szCs w:val="20"/>
        </w:rPr>
        <w:tab/>
        <w:t>FEES; PAYMENT TERMS.  The fees payable by Licensee will be as set forth in an applicable Order, or as otherwise agreed to by the parties in writing. Except as otherwise set forth in a Order, the payment terms below shall control. All fees are payable in advance for the applicable term. Invoices are due and payable net thirty (30) days from the invoice date and shall be invoiced and paid in U.S. Dollars. Customer is responsible for any and all applicable sales related taxes and fees, except any tax assessed upon Molecular Match’s net income. Price increases for any renewal term will be as notified by Molecular Match to Licensee at least ninety (90) days prior to the beginning of such renewal term.</w:t>
      </w:r>
    </w:p>
    <w:p w14:paraId="24D18F52" w14:textId="77777777" w:rsidR="00FD7173" w:rsidRPr="00FD7173" w:rsidRDefault="00FD7173" w:rsidP="00FD7173">
      <w:pPr>
        <w:jc w:val="both"/>
        <w:rPr>
          <w:szCs w:val="20"/>
        </w:rPr>
      </w:pPr>
      <w:r w:rsidRPr="00FD7173">
        <w:rPr>
          <w:szCs w:val="20"/>
        </w:rPr>
        <w:lastRenderedPageBreak/>
        <w:t>6.</w:t>
      </w:r>
      <w:r w:rsidRPr="00FD7173">
        <w:rPr>
          <w:szCs w:val="20"/>
        </w:rPr>
        <w:tab/>
        <w:t>INDEMNITY.  Licensee agrees that Molecular Match shall have no liability whatsoever for any use Licensee makes of the Service or Data. Licensee shall indemnify and hold harmless Molecular Match from any claims, actions, demands, damages, losses, liabilities, settlements, costs and fees (including attorneys’ fees) arising from or in connection with: (i) Licensee's use of the Service or Data, (ii) access to any part of the Service or Data (including, without limitation, any interface) by Licensee Subjects, as well as (iii) Licensee's failure to comply with any term of this Agreement. For clarity, the foregoing includes claims brought by any Licensee Subject(s) with respect to Licensee’s use of the Data.</w:t>
      </w:r>
    </w:p>
    <w:p w14:paraId="167404A6" w14:textId="77777777" w:rsidR="00FD7173" w:rsidRPr="00FD7173" w:rsidRDefault="00FD7173" w:rsidP="00FD7173">
      <w:pPr>
        <w:jc w:val="both"/>
        <w:rPr>
          <w:szCs w:val="20"/>
        </w:rPr>
      </w:pPr>
      <w:r w:rsidRPr="00FD7173">
        <w:rPr>
          <w:szCs w:val="20"/>
        </w:rPr>
        <w:t>7.</w:t>
      </w:r>
      <w:r w:rsidRPr="00FD7173">
        <w:rPr>
          <w:szCs w:val="20"/>
        </w:rPr>
        <w:tab/>
        <w:t>LIMITED WARRANTY.  Molecular Match warrants to Licensee only that it will use commercially reasonable efforts to make the Service available on a 24/7 basis (subject to downtime for scheduled maintenance, emergency maintenance and matters beyond Molecular Match’s reasonable control).  Licensee's exclusive remedy, and Molecular Match's sole liability, will be to repair or replace unavailability in the Service. Notwithstanding the foregoing, there is no warrant to the extent the Service is provided on an evaluation basis.</w:t>
      </w:r>
    </w:p>
    <w:p w14:paraId="7BE30F32" w14:textId="77777777" w:rsidR="00FD7173" w:rsidRPr="00FD7173" w:rsidRDefault="00FD7173" w:rsidP="00FD7173">
      <w:pPr>
        <w:jc w:val="both"/>
        <w:rPr>
          <w:szCs w:val="20"/>
        </w:rPr>
      </w:pPr>
      <w:r w:rsidRPr="00FD7173">
        <w:rPr>
          <w:szCs w:val="20"/>
        </w:rPr>
        <w:t>8.</w:t>
      </w:r>
      <w:r w:rsidRPr="00FD7173">
        <w:rPr>
          <w:szCs w:val="20"/>
        </w:rPr>
        <w:tab/>
        <w:t>WARRANTY DISCLAIMER.  EXCEPT AS EXPRESSLY SET FORTH IN SECTION 7, MOLECULAR MATCH AND ITS MOLECULAR MATCHS AND SUPPLIERS PROVIDE THE SERVICE "AS IS" AND WITHOUT WARRANTY OF ANY KIND, AND HEREBY DISCLAIM ALL EXPRESS OR IMPLIED WARRANTIES WITH RESPECT TO THE SERVICE, THE DATA AND ANY OTHER SUBJECT MATTER OF THIS AGREEMENT, INCLUDING, WITHOUT LIMITATION, THE WARRANTIES OF MERCHANTABILITY, FITNESS FOR A PARTICULAR PURPOSE, AND NON-INFRINGEMENT. LICENSEE ACKNOWLEDGES THAT THE DATA IS OBTAINED FROM THIRD PARTY SOURCES (SUCH AS PUBLICLY AVAILABLE SOURCES) AND, THEREFORE, MOLECULAR MATCH MAKES NO WARRANTIES AS TO ITS ACCURACY OR THE BENEFITS OR RESULTS THAT MAY COME FROM UTILIZING THE DATA. THIS DISCLAIMER OF WARRANTY CONSTITUTES AN ESSENTIAL PART OF THIS AGREEMENT.  SOME STATES DO NOT ALLOW LIMITATIONS ON HOW LONG AN IMPLIED WARRANTY LASTS SO THE FOREGOING LIMITATIONS MAY NOT APPLY TO LICENSEE.</w:t>
      </w:r>
    </w:p>
    <w:p w14:paraId="50CAE886" w14:textId="77777777" w:rsidR="00FD7173" w:rsidRPr="00FD7173" w:rsidRDefault="00FD7173" w:rsidP="00FD7173">
      <w:pPr>
        <w:jc w:val="both"/>
        <w:rPr>
          <w:szCs w:val="20"/>
        </w:rPr>
      </w:pPr>
      <w:r w:rsidRPr="00FD7173">
        <w:rPr>
          <w:szCs w:val="20"/>
        </w:rPr>
        <w:t>9.</w:t>
      </w:r>
      <w:r w:rsidRPr="00FD7173">
        <w:rPr>
          <w:szCs w:val="20"/>
        </w:rPr>
        <w:tab/>
        <w:t>LIMITATION OF LIABILITY.  TO THE EXTENT NOT PROHIBITED BY LAW, IN NO EVENT SHALL MOLECULAR MATCH (OR ITS LICENSORS OR OTHER PROVIDERS) BE LIABLE WITH RESPECT TO THE SERVICE, THE DATA OR ANY SUBJECT MATTER OF THIS AGREEMENT UNDER CONTRACT, TORT, STRICT LIABILITY, NEGLIGENCE OR ANY OTHER LEGAL THEORY FOR (I) ANY INCIDENTAL, SPECIAL, INDIRECT OR CONSEQUENTIAL DAMAGES, LOST PROFITS, LOSS OF DATA, BUSINESS INTERRUPTION, HOWEVER CAUSED, EVEN IF MOLECULAR MATCH HAS BEEN ADVISED OF THE POSSIBILITY OF SUCH DAMAGES, (II) ANY AMOUNT IN EXCESS, IN THE AGGREGATE, OF THE LESSER OF (A) THE AMOUNTS PAID BY LICENSEE FOR THE SERVICE IN THE PRECEDING SIX (6) MONTHS AND (B) US$100,000.00 (PROVIDED THAT, IF NO AMOUNTS HAVE BEEN PAID, SUCH AMOUNT SHALL BE US$1,000.00), (III) THE COST OF SUBSTITUTE SERVICES OR DATA OR (IV) MATTERS BEYOND ITS REASONABLE CONTROL.  LICENSEE ACKNOWLEDGES THAT THE DATA IS OBTAINED FROM THIRD PARTY SOURCES (SUCH AS PUBLICLY AVAILABLE SOURCES) AND, THEREFORE, MOLECULAR MATCH SHALL HAVE NO LIABILITY WITH RESPECT TO ITS ACCURACY OR THE BENEFITS OR RESULTS THAT MAY COME FROM UTILIZING THE DATA. THE FOREGOING LIMITATIONS WILL APPLY EVEN IF THE ABOVE STATED REMEDY FAILS OF ITS ESSENTIAL PURPOSE. SOME JURISDICTIONS DO NOT ALLOW THE LIMITATION OF LIABILITY FOR PERSONAL INJURY, OR OF INCIDENTAL OR CONSEQUENTIAL DAMAGES, SO THIS ABOVE LIMITATION MAY NOT APPLY TO LICENSEE.</w:t>
      </w:r>
    </w:p>
    <w:p w14:paraId="36FD4A25" w14:textId="77777777" w:rsidR="00FD7173" w:rsidRPr="00FD7173" w:rsidRDefault="00FD7173" w:rsidP="00FD7173">
      <w:pPr>
        <w:jc w:val="both"/>
        <w:rPr>
          <w:szCs w:val="20"/>
        </w:rPr>
      </w:pPr>
      <w:r w:rsidRPr="00FD7173">
        <w:rPr>
          <w:szCs w:val="20"/>
        </w:rPr>
        <w:t>10.</w:t>
      </w:r>
      <w:r w:rsidRPr="00FD7173">
        <w:rPr>
          <w:szCs w:val="20"/>
        </w:rPr>
        <w:tab/>
        <w:t xml:space="preserve">TERM AND TERMINATION.  If an Order has been executed, the initial term of this Agreement shall, unless otherwise terminated as set forth below, be as set forth in such Order. If no initial term is set forth in an Order, the term of such Order shall be one (1) year from the effective date of the Order. After the expiration of the initial term, </w:t>
      </w:r>
      <w:r w:rsidRPr="00FD7173">
        <w:rPr>
          <w:szCs w:val="20"/>
        </w:rPr>
        <w:lastRenderedPageBreak/>
        <w:t>this Agreement will automatically renew for consecutive renewal terms of equal length to the initial term – unless either party provides the other party with written notice of non-renewal at least sixty (60) days prior to the end of the then current term. If a Licensee if bound to a term, either party may terminate this Agreement only if (i) the other party breaches this Agreement and fails to cure such breach within thirty (30) days from receipt of written notice thereof (ten (10) days in the case of Licensee’s failure to pay), or (ii) the other party enters bankruptcy, makes an assignment for the general benefit of creditors, has a receiver appointed, or otherwise becomes insolvent. If Licensee is not bound by any term (such as, in the case of any evaluation license): (a) Licensee may terminate this Agreement at any time and (b) Molecular Match may terminate this Agreement immediately if Licensee violates any provision of this Agreement.  If Licensee is using the Service under an evaluation agreement with Molecular Match, this Agreement shall terminate upon expiration of the applicable evaluation period, unless Licensee elects to retain such Service (subject to payment to Molecular Match of all applicable fees). If no evaluation term is set forth in an evaluation Order, the term of such Order shall be thirty (30) days from the effective date of the Order. Any termination of this Agreement shall also terminate the licenses granted hereunder. Upon termination of this Agreement for any reason, Licensee shall promptly return to Molecular Match all Confidential Information, and shall, if requested by Molecular Match, so certify to Molecular Match that such actions have occurred. Sections 2, 3, 6, 8, 9, 10 and 11, as well as all outstanding payment obligations, shall survive termination of this Agreement.</w:t>
      </w:r>
    </w:p>
    <w:p w14:paraId="62BAD86D" w14:textId="051CA547" w:rsidR="007F1B9B" w:rsidRPr="00FD7173" w:rsidRDefault="00FD7173" w:rsidP="00FD7173">
      <w:pPr>
        <w:jc w:val="both"/>
      </w:pPr>
      <w:r w:rsidRPr="00FD7173">
        <w:rPr>
          <w:szCs w:val="20"/>
        </w:rPr>
        <w:t>11.</w:t>
      </w:r>
      <w:r w:rsidRPr="00FD7173">
        <w:rPr>
          <w:szCs w:val="20"/>
        </w:rPr>
        <w:tab/>
        <w:t>MISCELLANEOUS.  This Agreement represents the complete agreement concerning the Service between the parties, to the exclusion of any pre-printed or contrary terms of any Licensee purchase order (or similar document), and supersedes all prior agreements and representations between them; provided, however, that if there is already a mutually signed agreement between Molecular Match and Licensee (not including any Licensee purchase order or similar document) covering Licensee's license to use the Service, then the express terms of that signed agreement will govern to the extent they are expressly contrary to this Agreement. This Agreement may be amended only by a writing executed by both parties. If any provision of this Agreement is held to be unenforceable for any reason, such provision shall be reformed only to the extent necessary to make it enforceable. The failure of Molecular Match to act with respect to a breach of this Agreement by Licensee or others does not constitute a waiver and shall not limit Molecular Match's rights with respect to such breach or any subsequent breaches. This Agreement is personal to Licensee and may not be assigned or transferred for any reason whatsoever without Molecular Match's consent and any action or conduct in violation of the foregoing shall be void and without effect. Molecular Match expressly reserves the right to assign this Agreement and to delegate any of its obligations hereunder. This Agreement shall be governed by and construed under Delaware law as such law applies to agreements between Delaware residents entered into and to be performed within Delaware, without regard to the Uniform Computer Information Transactions Act or the United Nations Convention for the International Sale of Goods. The party prevailing in any dispute under this Agreement shall be entitled to its costs and legal fees. All disputes will be subject to the sole and exclusive jurisdiction of the state and Federal courts located in Delaware.</w:t>
      </w:r>
    </w:p>
    <w:p w14:paraId="45050B05" w14:textId="08813229" w:rsidR="007F1B9B" w:rsidRDefault="007F1B9B" w:rsidP="007F1B9B">
      <w:pPr>
        <w:tabs>
          <w:tab w:val="left" w:pos="-720"/>
        </w:tabs>
        <w:adjustRightInd w:val="0"/>
        <w:spacing w:after="120"/>
        <w:jc w:val="both"/>
        <w:rPr>
          <w:rFonts w:ascii="Arial" w:eastAsia="Calibri" w:hAnsi="Arial" w:cs="Arial"/>
          <w:spacing w:val="3"/>
          <w:sz w:val="16"/>
          <w:szCs w:val="16"/>
        </w:rPr>
      </w:pPr>
    </w:p>
    <w:p w14:paraId="5F6E02F8" w14:textId="1A74C727" w:rsidR="007F1B9B" w:rsidRDefault="007F1B9B" w:rsidP="007F1B9B">
      <w:pPr>
        <w:tabs>
          <w:tab w:val="left" w:pos="-720"/>
        </w:tabs>
        <w:adjustRightInd w:val="0"/>
        <w:spacing w:after="120"/>
        <w:jc w:val="both"/>
        <w:rPr>
          <w:rFonts w:ascii="Arial" w:eastAsia="Calibri" w:hAnsi="Arial" w:cs="Arial"/>
          <w:spacing w:val="3"/>
          <w:sz w:val="16"/>
          <w:szCs w:val="16"/>
        </w:rPr>
      </w:pPr>
    </w:p>
    <w:p w14:paraId="527D817C" w14:textId="77777777" w:rsidR="007F1B9B" w:rsidRDefault="007F1B9B" w:rsidP="007F1B9B">
      <w:pPr>
        <w:jc w:val="center"/>
        <w:rPr>
          <w:rFonts w:ascii="Arial" w:eastAsia="Calibri" w:hAnsi="Arial" w:cs="Arial"/>
          <w:color w:val="5B9BD5" w:themeColor="accent1"/>
          <w:spacing w:val="3"/>
          <w:sz w:val="16"/>
          <w:szCs w:val="16"/>
        </w:rPr>
      </w:pPr>
      <w:r w:rsidRPr="007F1B9B">
        <w:rPr>
          <w:rFonts w:ascii="Arial" w:eastAsia="Calibri" w:hAnsi="Arial" w:cs="Arial"/>
          <w:color w:val="5B9BD5" w:themeColor="accent1"/>
          <w:spacing w:val="3"/>
          <w:sz w:val="16"/>
          <w:szCs w:val="16"/>
        </w:rPr>
        <w:t xml:space="preserve">(e) </w:t>
      </w:r>
      <w:r>
        <w:rPr>
          <w:rFonts w:ascii="Arial" w:eastAsia="Calibri" w:hAnsi="Arial" w:cs="Arial"/>
          <w:color w:val="5B9BD5" w:themeColor="accent1"/>
          <w:spacing w:val="3"/>
          <w:sz w:val="16"/>
          <w:szCs w:val="16"/>
        </w:rPr>
        <w:t>Applicable to the NAVIFY Guidelines Application</w:t>
      </w:r>
    </w:p>
    <w:p w14:paraId="52048ECE" w14:textId="76BD2D3D" w:rsidR="007F1B9B" w:rsidRPr="007F1B9B" w:rsidRDefault="007F1B9B" w:rsidP="007F1B9B">
      <w:pPr>
        <w:jc w:val="center"/>
        <w:rPr>
          <w:rFonts w:ascii="Arial" w:hAnsi="Arial" w:cs="Arial"/>
          <w:b/>
          <w:color w:val="5B9BD5" w:themeColor="accent1"/>
          <w:sz w:val="16"/>
          <w:szCs w:val="16"/>
        </w:rPr>
      </w:pPr>
      <w:r w:rsidRPr="007F1B9B">
        <w:rPr>
          <w:rFonts w:ascii="Arial" w:hAnsi="Arial" w:cs="Arial"/>
          <w:b/>
          <w:color w:val="5B9BD5" w:themeColor="accent1"/>
          <w:sz w:val="16"/>
          <w:szCs w:val="16"/>
        </w:rPr>
        <w:t>NATIONAL COMPREHENSIVE CANCER NETWORK, INC. (“NCCN”) END USER LICENSE AGREEMENT (THE “NCCN EULA”)</w:t>
      </w:r>
    </w:p>
    <w:p w14:paraId="13E753EC" w14:textId="77777777" w:rsidR="007F1B9B" w:rsidRPr="00BA60AD" w:rsidRDefault="007F1B9B" w:rsidP="007F1B9B">
      <w:pPr>
        <w:jc w:val="center"/>
        <w:rPr>
          <w:rFonts w:ascii="Arial" w:hAnsi="Arial" w:cs="Arial"/>
          <w:sz w:val="16"/>
          <w:szCs w:val="16"/>
        </w:rPr>
      </w:pPr>
    </w:p>
    <w:p w14:paraId="2C8B4B78" w14:textId="77777777" w:rsidR="007F1B9B" w:rsidRPr="00BA60AD" w:rsidRDefault="007F1B9B" w:rsidP="007F1B9B">
      <w:pPr>
        <w:rPr>
          <w:rFonts w:ascii="Arial" w:hAnsi="Arial" w:cs="Arial"/>
          <w:sz w:val="16"/>
          <w:szCs w:val="16"/>
        </w:rPr>
      </w:pPr>
    </w:p>
    <w:p w14:paraId="76DB000D" w14:textId="77777777" w:rsidR="007F1B9B" w:rsidRPr="00BA60AD" w:rsidRDefault="007F1B9B" w:rsidP="007F1B9B">
      <w:pPr>
        <w:tabs>
          <w:tab w:val="num" w:pos="2160"/>
        </w:tabs>
        <w:jc w:val="both"/>
        <w:rPr>
          <w:rFonts w:ascii="Arial" w:hAnsi="Arial" w:cs="Arial"/>
          <w:sz w:val="16"/>
          <w:szCs w:val="16"/>
          <w:lang w:val="en"/>
        </w:rPr>
      </w:pPr>
      <w:r w:rsidRPr="00BA60AD">
        <w:rPr>
          <w:rFonts w:ascii="Arial" w:hAnsi="Arial" w:cs="Arial"/>
          <w:sz w:val="16"/>
          <w:szCs w:val="16"/>
          <w:lang w:val="en"/>
        </w:rPr>
        <w:t xml:space="preserve">Client hereby understands and acknowledges the following: (i) Client hereby intends to subscribe to and use Roche’s NAVIFY Guidelines clinical decision support </w:t>
      </w:r>
      <w:r w:rsidRPr="004A4DD8">
        <w:rPr>
          <w:rFonts w:ascii="Arial" w:hAnsi="Arial" w:cs="Arial"/>
          <w:sz w:val="16"/>
          <w:szCs w:val="16"/>
          <w:lang w:val="en"/>
        </w:rPr>
        <w:t>application</w:t>
      </w:r>
      <w:r w:rsidRPr="00BA60AD">
        <w:rPr>
          <w:rFonts w:ascii="Arial" w:hAnsi="Arial" w:cs="Arial"/>
          <w:sz w:val="16"/>
          <w:szCs w:val="16"/>
          <w:lang w:val="en"/>
        </w:rPr>
        <w:t>, as provided for in a subscription agreement between Client and Roche</w:t>
      </w:r>
      <w:r>
        <w:rPr>
          <w:rFonts w:ascii="Arial" w:hAnsi="Arial" w:cs="Arial"/>
          <w:sz w:val="16"/>
          <w:szCs w:val="16"/>
          <w:lang w:val="en"/>
        </w:rPr>
        <w:t xml:space="preserve"> </w:t>
      </w:r>
      <w:r w:rsidRPr="004A4DD8">
        <w:rPr>
          <w:rFonts w:ascii="Arial" w:hAnsi="Arial" w:cs="Arial"/>
          <w:sz w:val="16"/>
          <w:szCs w:val="16"/>
          <w:lang w:val="en"/>
        </w:rPr>
        <w:t>(“NAVIFY Guidelines”)</w:t>
      </w:r>
      <w:r w:rsidRPr="00BA60AD">
        <w:rPr>
          <w:rFonts w:ascii="Arial" w:hAnsi="Arial" w:cs="Arial"/>
          <w:sz w:val="16"/>
          <w:szCs w:val="16"/>
          <w:lang w:val="en"/>
        </w:rPr>
        <w:t>; (ii) Client acknowledges that NAVIFY Guidelines contains certain proprietary content of National Comprehensive Cancer Network, Inc.</w:t>
      </w:r>
      <w:r>
        <w:rPr>
          <w:rFonts w:ascii="Arial" w:hAnsi="Arial" w:cs="Arial"/>
          <w:sz w:val="16"/>
          <w:szCs w:val="16"/>
          <w:lang w:val="en"/>
        </w:rPr>
        <w:t xml:space="preserve"> including, specifically, </w:t>
      </w:r>
      <w:r w:rsidRPr="004A4DD8">
        <w:rPr>
          <w:rFonts w:ascii="Arial" w:hAnsi="Arial" w:cs="Arial"/>
          <w:sz w:val="16"/>
          <w:szCs w:val="16"/>
        </w:rPr>
        <w:t>NCCN Clinical Practice Guidelines In Oncology</w:t>
      </w:r>
      <w:r w:rsidRPr="00BA60AD">
        <w:rPr>
          <w:rFonts w:ascii="Arial" w:hAnsi="Arial" w:cs="Arial"/>
          <w:sz w:val="16"/>
          <w:szCs w:val="16"/>
          <w:lang w:val="en"/>
        </w:rPr>
        <w:t xml:space="preserve"> (</w:t>
      </w:r>
      <w:r>
        <w:rPr>
          <w:rFonts w:ascii="Arial" w:hAnsi="Arial" w:cs="Arial"/>
          <w:sz w:val="16"/>
          <w:szCs w:val="16"/>
          <w:lang w:val="en"/>
        </w:rPr>
        <w:t xml:space="preserve">together </w:t>
      </w:r>
      <w:r w:rsidRPr="00BA60AD">
        <w:rPr>
          <w:rFonts w:ascii="Arial" w:hAnsi="Arial" w:cs="Arial"/>
          <w:sz w:val="16"/>
          <w:szCs w:val="16"/>
          <w:lang w:val="en"/>
        </w:rPr>
        <w:t xml:space="preserve">‘NCCN Content’) and is therefore subject to NCCN EULA; and (iii) Client hereby agrees to adhere to the NCCN EULA as follows: </w:t>
      </w:r>
    </w:p>
    <w:p w14:paraId="4A9DDB2C" w14:textId="77777777" w:rsidR="007F1B9B" w:rsidRDefault="007F1B9B" w:rsidP="007F1B9B">
      <w:pPr>
        <w:pStyle w:val="ListParagraph"/>
        <w:ind w:left="0"/>
        <w:jc w:val="both"/>
        <w:rPr>
          <w:rFonts w:ascii="Arial" w:hAnsi="Arial" w:cs="Arial"/>
          <w:sz w:val="16"/>
          <w:szCs w:val="16"/>
          <w:lang w:val="en"/>
        </w:rPr>
      </w:pPr>
    </w:p>
    <w:p w14:paraId="24EE08EB" w14:textId="77777777" w:rsidR="007F1B9B" w:rsidRPr="004A4DD8"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Client shall only use the NCCN Content provided in Roche’s NAVIFY Guidelines as a component of NAVIFY Guidelines and</w:t>
      </w:r>
      <w:r>
        <w:rPr>
          <w:rFonts w:ascii="Arial" w:hAnsi="Arial" w:cs="Arial"/>
          <w:sz w:val="16"/>
          <w:szCs w:val="16"/>
          <w:lang w:val="en"/>
        </w:rPr>
        <w:t xml:space="preserve"> in accordance with all applicable terms and conditions</w:t>
      </w:r>
      <w:r w:rsidRPr="004A4DD8">
        <w:rPr>
          <w:rFonts w:ascii="Arial" w:hAnsi="Arial" w:cs="Arial"/>
          <w:sz w:val="16"/>
          <w:szCs w:val="16"/>
          <w:lang w:val="en"/>
        </w:rPr>
        <w:t xml:space="preserve">. Client shall not copy, sell, lease, assign, sublicense, or otherwise transfer or </w:t>
      </w:r>
      <w:r w:rsidRPr="004A4DD8">
        <w:rPr>
          <w:rFonts w:ascii="Arial" w:hAnsi="Arial" w:cs="Arial"/>
          <w:sz w:val="16"/>
          <w:szCs w:val="16"/>
          <w:lang w:val="en"/>
        </w:rPr>
        <w:lastRenderedPageBreak/>
        <w:t>disclose the NCCN Content, in whole or in part, to any third party, and may not modify such NCCN Content and may not use the NCCN</w:t>
      </w:r>
      <w:r>
        <w:rPr>
          <w:rFonts w:ascii="Arial" w:hAnsi="Arial" w:cs="Arial"/>
          <w:sz w:val="16"/>
          <w:szCs w:val="16"/>
          <w:lang w:val="en"/>
        </w:rPr>
        <w:t xml:space="preserve"> Content except as set forth in Client’s applicable subscription agreement(s)</w:t>
      </w:r>
      <w:r w:rsidRPr="004A4DD8">
        <w:rPr>
          <w:rFonts w:ascii="Arial" w:hAnsi="Arial" w:cs="Arial"/>
          <w:sz w:val="16"/>
          <w:szCs w:val="16"/>
          <w:lang w:val="en"/>
        </w:rPr>
        <w:t>.</w:t>
      </w:r>
    </w:p>
    <w:p w14:paraId="5AD8E25B"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Any use or reproduction of the </w:t>
      </w:r>
      <w:r>
        <w:rPr>
          <w:rFonts w:ascii="Arial" w:hAnsi="Arial" w:cs="Arial"/>
          <w:sz w:val="16"/>
          <w:szCs w:val="16"/>
          <w:lang w:val="en"/>
        </w:rPr>
        <w:t xml:space="preserve">NCCN </w:t>
      </w:r>
      <w:r w:rsidRPr="004A4DD8">
        <w:rPr>
          <w:rFonts w:ascii="Arial" w:hAnsi="Arial" w:cs="Arial"/>
          <w:sz w:val="16"/>
          <w:szCs w:val="16"/>
          <w:lang w:val="en"/>
        </w:rPr>
        <w:t xml:space="preserve">Content not in accordance with or in addition to that expressly stated </w:t>
      </w:r>
      <w:r>
        <w:rPr>
          <w:rFonts w:ascii="Arial" w:hAnsi="Arial" w:cs="Arial"/>
          <w:sz w:val="16"/>
          <w:szCs w:val="16"/>
          <w:lang w:val="en"/>
        </w:rPr>
        <w:t>herein</w:t>
      </w:r>
      <w:r w:rsidRPr="004A4DD8">
        <w:rPr>
          <w:rFonts w:ascii="Arial" w:hAnsi="Arial" w:cs="Arial"/>
          <w:sz w:val="16"/>
          <w:szCs w:val="16"/>
          <w:lang w:val="en"/>
        </w:rPr>
        <w:t xml:space="preserve"> shall require the prior written approval of NCCN (which </w:t>
      </w:r>
      <w:r>
        <w:rPr>
          <w:rFonts w:ascii="Arial" w:hAnsi="Arial" w:cs="Arial"/>
          <w:sz w:val="16"/>
          <w:szCs w:val="16"/>
          <w:lang w:val="en"/>
        </w:rPr>
        <w:t>NCCN</w:t>
      </w:r>
      <w:r w:rsidRPr="004A4DD8">
        <w:rPr>
          <w:rFonts w:ascii="Arial" w:hAnsi="Arial" w:cs="Arial"/>
          <w:sz w:val="16"/>
          <w:szCs w:val="16"/>
          <w:lang w:val="en"/>
        </w:rPr>
        <w:t xml:space="preserve"> may grant or refuse in its sole discretion</w:t>
      </w:r>
      <w:r>
        <w:rPr>
          <w:rFonts w:ascii="Arial" w:hAnsi="Arial" w:cs="Arial"/>
          <w:sz w:val="16"/>
          <w:szCs w:val="16"/>
          <w:lang w:val="en"/>
        </w:rPr>
        <w:t>)</w:t>
      </w:r>
      <w:r w:rsidRPr="004A4DD8">
        <w:rPr>
          <w:rFonts w:ascii="Arial" w:hAnsi="Arial" w:cs="Arial"/>
          <w:sz w:val="16"/>
          <w:szCs w:val="16"/>
          <w:lang w:val="en"/>
        </w:rPr>
        <w:t xml:space="preserve">.  </w:t>
      </w:r>
      <w:r>
        <w:rPr>
          <w:rFonts w:ascii="Arial" w:hAnsi="Arial" w:cs="Arial"/>
          <w:sz w:val="16"/>
          <w:szCs w:val="16"/>
          <w:lang w:val="en"/>
        </w:rPr>
        <w:t xml:space="preserve">Client </w:t>
      </w:r>
      <w:r w:rsidRPr="004A4DD8">
        <w:rPr>
          <w:rFonts w:ascii="Arial" w:hAnsi="Arial" w:cs="Arial"/>
          <w:sz w:val="16"/>
          <w:szCs w:val="16"/>
          <w:lang w:val="en"/>
        </w:rPr>
        <w:t xml:space="preserve">agrees to immediately cease any use of </w:t>
      </w:r>
      <w:r>
        <w:rPr>
          <w:rFonts w:ascii="Arial" w:hAnsi="Arial" w:cs="Arial"/>
          <w:sz w:val="16"/>
          <w:szCs w:val="16"/>
          <w:lang w:val="en"/>
        </w:rPr>
        <w:t xml:space="preserve">NCCN </w:t>
      </w:r>
      <w:r w:rsidRPr="004A4DD8">
        <w:rPr>
          <w:rFonts w:ascii="Arial" w:hAnsi="Arial" w:cs="Arial"/>
          <w:sz w:val="16"/>
          <w:szCs w:val="16"/>
          <w:lang w:val="en"/>
        </w:rPr>
        <w:t>Content that violates the terms of this Agreement upon receipt of notice from NCCN.</w:t>
      </w:r>
    </w:p>
    <w:p w14:paraId="4D70A5BC"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Pr>
          <w:rFonts w:ascii="Arial" w:hAnsi="Arial" w:cs="Arial"/>
          <w:sz w:val="16"/>
          <w:szCs w:val="16"/>
          <w:lang w:val="en"/>
        </w:rPr>
        <w:t>Client</w:t>
      </w:r>
      <w:r w:rsidRPr="004A4DD8">
        <w:rPr>
          <w:rFonts w:ascii="Arial" w:hAnsi="Arial" w:cs="Arial"/>
          <w:sz w:val="16"/>
          <w:szCs w:val="16"/>
          <w:lang w:val="en"/>
        </w:rPr>
        <w:t xml:space="preserve"> acknowledges that NCCN or its licensors, as applicable, own all right, title and interest in and to the </w:t>
      </w:r>
      <w:r>
        <w:rPr>
          <w:rFonts w:ascii="Arial" w:hAnsi="Arial" w:cs="Arial"/>
          <w:sz w:val="16"/>
          <w:szCs w:val="16"/>
          <w:lang w:val="en"/>
        </w:rPr>
        <w:t xml:space="preserve">NCCN </w:t>
      </w:r>
      <w:r w:rsidRPr="004A4DD8">
        <w:rPr>
          <w:rFonts w:ascii="Arial" w:hAnsi="Arial" w:cs="Arial"/>
          <w:sz w:val="16"/>
          <w:szCs w:val="16"/>
          <w:lang w:val="en"/>
        </w:rPr>
        <w:t xml:space="preserve">Content, including, without limitation, all modifications, updates and other derivative works thereof, and all copyright and other intellectual property rights related thereto.  </w:t>
      </w:r>
      <w:r>
        <w:rPr>
          <w:rFonts w:ascii="Arial" w:hAnsi="Arial" w:cs="Arial"/>
          <w:sz w:val="16"/>
          <w:szCs w:val="16"/>
          <w:lang w:val="en"/>
        </w:rPr>
        <w:t>Client</w:t>
      </w:r>
      <w:r w:rsidRPr="004A4DD8">
        <w:rPr>
          <w:rFonts w:ascii="Arial" w:hAnsi="Arial" w:cs="Arial"/>
          <w:sz w:val="16"/>
          <w:szCs w:val="16"/>
          <w:lang w:val="en"/>
        </w:rPr>
        <w:t xml:space="preserve"> hereby agrees that </w:t>
      </w:r>
      <w:r>
        <w:rPr>
          <w:rFonts w:ascii="Arial" w:hAnsi="Arial" w:cs="Arial"/>
          <w:sz w:val="16"/>
          <w:szCs w:val="16"/>
          <w:lang w:val="en"/>
        </w:rPr>
        <w:t>Client</w:t>
      </w:r>
      <w:r w:rsidRPr="004A4DD8">
        <w:rPr>
          <w:rFonts w:ascii="Arial" w:hAnsi="Arial" w:cs="Arial"/>
          <w:sz w:val="16"/>
          <w:szCs w:val="16"/>
          <w:lang w:val="en"/>
        </w:rPr>
        <w:t xml:space="preserve"> shall not at any time dispute, challenge, or contest, directly or indirectly, such right, title and interest in and to the </w:t>
      </w:r>
      <w:r>
        <w:rPr>
          <w:rFonts w:ascii="Arial" w:hAnsi="Arial" w:cs="Arial"/>
          <w:sz w:val="16"/>
          <w:szCs w:val="16"/>
          <w:lang w:val="en"/>
        </w:rPr>
        <w:t xml:space="preserve">NCCN </w:t>
      </w:r>
      <w:r w:rsidRPr="004A4DD8">
        <w:rPr>
          <w:rFonts w:ascii="Arial" w:hAnsi="Arial" w:cs="Arial"/>
          <w:sz w:val="16"/>
          <w:szCs w:val="16"/>
          <w:lang w:val="en"/>
        </w:rPr>
        <w:t xml:space="preserve">Content or assist or aid others to do so. Licensee shall not remove any copyright, trademark or other notices or legends provided with the </w:t>
      </w:r>
      <w:r>
        <w:rPr>
          <w:rFonts w:ascii="Arial" w:hAnsi="Arial" w:cs="Arial"/>
          <w:sz w:val="16"/>
          <w:szCs w:val="16"/>
          <w:lang w:val="en"/>
        </w:rPr>
        <w:t xml:space="preserve">NCCN </w:t>
      </w:r>
      <w:r w:rsidRPr="004A4DD8">
        <w:rPr>
          <w:rFonts w:ascii="Arial" w:hAnsi="Arial" w:cs="Arial"/>
          <w:sz w:val="16"/>
          <w:szCs w:val="16"/>
          <w:lang w:val="en"/>
        </w:rPr>
        <w:t>Content.</w:t>
      </w:r>
    </w:p>
    <w:p w14:paraId="7592ED9E"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Neither NCCN, nor its licensors, makes any representation or warranty and explicitly disclaims the appropriateness or applicability of the </w:t>
      </w:r>
      <w:r>
        <w:rPr>
          <w:rFonts w:ascii="Arial" w:hAnsi="Arial" w:cs="Arial"/>
          <w:sz w:val="16"/>
          <w:szCs w:val="16"/>
          <w:lang w:val="en"/>
        </w:rPr>
        <w:t xml:space="preserve">NCCN </w:t>
      </w:r>
      <w:r w:rsidRPr="004A4DD8">
        <w:rPr>
          <w:rFonts w:ascii="Arial" w:hAnsi="Arial" w:cs="Arial"/>
          <w:sz w:val="16"/>
          <w:szCs w:val="16"/>
          <w:lang w:val="en"/>
        </w:rPr>
        <w:t xml:space="preserve">Content to any specific patient’s care or treatment. Any clinician seeking to treat a patient using the </w:t>
      </w:r>
      <w:r>
        <w:rPr>
          <w:rFonts w:ascii="Arial" w:hAnsi="Arial" w:cs="Arial"/>
          <w:sz w:val="16"/>
          <w:szCs w:val="16"/>
          <w:lang w:val="en"/>
        </w:rPr>
        <w:t xml:space="preserve">NCCN </w:t>
      </w:r>
      <w:r w:rsidRPr="004A4DD8">
        <w:rPr>
          <w:rFonts w:ascii="Arial" w:hAnsi="Arial" w:cs="Arial"/>
          <w:sz w:val="16"/>
          <w:szCs w:val="16"/>
          <w:lang w:val="en"/>
        </w:rPr>
        <w:t>Content is expected to use independent medical judgment in the context of individual clinical circumstances of a specific patient’s care or treatment.</w:t>
      </w:r>
    </w:p>
    <w:p w14:paraId="20B2BBD0" w14:textId="77777777" w:rsidR="007F1B9B" w:rsidRDefault="007F1B9B" w:rsidP="007F1B9B">
      <w:pPr>
        <w:pStyle w:val="ListParagraph"/>
        <w:numPr>
          <w:ilvl w:val="0"/>
          <w:numId w:val="29"/>
        </w:numPr>
        <w:tabs>
          <w:tab w:val="num" w:pos="450"/>
        </w:tabs>
        <w:ind w:left="0" w:firstLine="0"/>
        <w:jc w:val="both"/>
        <w:rPr>
          <w:rFonts w:ascii="Arial" w:hAnsi="Arial" w:cs="Arial"/>
          <w:sz w:val="16"/>
          <w:szCs w:val="16"/>
          <w:lang w:val="en"/>
        </w:rPr>
      </w:pPr>
      <w:r w:rsidRPr="004A4DD8">
        <w:rPr>
          <w:rFonts w:ascii="Arial" w:hAnsi="Arial" w:cs="Arial"/>
          <w:sz w:val="16"/>
          <w:szCs w:val="16"/>
          <w:lang w:val="en"/>
        </w:rPr>
        <w:t xml:space="preserve">NEITHER NCCN, NOR ITS LICENSORS, MAKES ANY WARRANTIES CONCERNING THE </w:t>
      </w:r>
      <w:r>
        <w:rPr>
          <w:rFonts w:ascii="Arial" w:hAnsi="Arial" w:cs="Arial"/>
          <w:sz w:val="16"/>
          <w:szCs w:val="16"/>
          <w:lang w:val="en"/>
        </w:rPr>
        <w:t>NCCN CONTENT</w:t>
      </w:r>
      <w:r w:rsidRPr="004A4DD8">
        <w:rPr>
          <w:rFonts w:ascii="Arial" w:hAnsi="Arial" w:cs="Arial"/>
          <w:sz w:val="16"/>
          <w:szCs w:val="16"/>
          <w:lang w:val="en"/>
        </w:rPr>
        <w:t xml:space="preserve">, WHICH IS PROVIDED “AS IS.” NCCN AND ITS LICENSORS DISCLAIM ALL WARRANTIES, EXPRESS OR IMPLIED INCLUDING, WITHOUT LIMITATION, THE IMPLIED WARRANTIES OF MERCHANTABILITY, FITNESS FOR A PARTICULAR PURPOSE OR NON-INFRINGEMENT. [LICENSOR] AND ITS LICENSORS DO NOT WARRANT THE ACCURACY, CURRENCY APPROPRIATENESS, APPLICABILITY OR COMPLETENESS OF THE </w:t>
      </w:r>
      <w:r>
        <w:rPr>
          <w:rFonts w:ascii="Arial" w:hAnsi="Arial" w:cs="Arial"/>
          <w:sz w:val="16"/>
          <w:szCs w:val="16"/>
          <w:lang w:val="en"/>
        </w:rPr>
        <w:t>NCCN CONTENT</w:t>
      </w:r>
      <w:r w:rsidRPr="004A4DD8">
        <w:rPr>
          <w:rFonts w:ascii="Arial" w:hAnsi="Arial" w:cs="Arial"/>
          <w:sz w:val="16"/>
          <w:szCs w:val="16"/>
          <w:lang w:val="en"/>
        </w:rPr>
        <w:t xml:space="preserve">, NOR MAKE ANY REPRESENTATION REGARDING THE USE OR THE RESULTS OF THE USE OF THE </w:t>
      </w:r>
      <w:r>
        <w:rPr>
          <w:rFonts w:ascii="Arial" w:hAnsi="Arial" w:cs="Arial"/>
          <w:sz w:val="16"/>
          <w:szCs w:val="16"/>
          <w:lang w:val="en"/>
        </w:rPr>
        <w:t>NCCN CONTENT</w:t>
      </w:r>
      <w:r w:rsidRPr="004A4DD8">
        <w:rPr>
          <w:rFonts w:ascii="Arial" w:hAnsi="Arial" w:cs="Arial"/>
          <w:sz w:val="16"/>
          <w:szCs w:val="16"/>
          <w:lang w:val="en"/>
        </w:rPr>
        <w:t xml:space="preserve"> IN TREATMENT.</w:t>
      </w:r>
    </w:p>
    <w:p w14:paraId="0D08DB98" w14:textId="2D628CE6" w:rsidR="007F1B9B" w:rsidRDefault="007F1B9B" w:rsidP="007F1B9B">
      <w:pPr>
        <w:tabs>
          <w:tab w:val="left" w:pos="-720"/>
        </w:tabs>
        <w:adjustRightInd w:val="0"/>
        <w:spacing w:after="120"/>
        <w:jc w:val="both"/>
        <w:rPr>
          <w:rFonts w:ascii="Arial" w:hAnsi="Arial" w:cs="Arial"/>
          <w:sz w:val="16"/>
          <w:szCs w:val="16"/>
          <w:lang w:val="en"/>
        </w:rPr>
      </w:pPr>
      <w:r w:rsidRPr="004A4DD8">
        <w:rPr>
          <w:rFonts w:ascii="Arial" w:hAnsi="Arial" w:cs="Arial"/>
          <w:sz w:val="16"/>
          <w:szCs w:val="16"/>
          <w:lang w:val="en"/>
        </w:rPr>
        <w:t xml:space="preserve">IN NO EVENT SHALL NCCN OR ITS LICENSORS BE LIABLE FOR ANY INCIDENTAL, INDIRECT, SPECIAL, PUNITIVE OR CONSEQUENTIAL DAMAGES ARISING OUT OF OR IN CONNECTION WITH USE OF THE </w:t>
      </w:r>
      <w:r>
        <w:rPr>
          <w:rFonts w:ascii="Arial" w:hAnsi="Arial" w:cs="Arial"/>
          <w:sz w:val="16"/>
          <w:szCs w:val="16"/>
          <w:lang w:val="en"/>
        </w:rPr>
        <w:t>NCCN CONTENT</w:t>
      </w:r>
      <w:r w:rsidRPr="004A4DD8">
        <w:rPr>
          <w:rFonts w:ascii="Arial" w:hAnsi="Arial" w:cs="Arial"/>
          <w:sz w:val="16"/>
          <w:szCs w:val="16"/>
          <w:lang w:val="en"/>
        </w:rPr>
        <w:t>, INCLUDING, WITHOUT LIMITATION, LOSS OF LIFE, PHYSICAL INJURY, PROPERTY DAMAGE, LOSS OF DATA, LOSS OF INCOME OR PROFIT, OR ANY OTHER DAMAGES, LOSSES OR CLAIMS, EVEN IF SUCH PARTY HAS BEEN ADVISED OF THE POSSIBILITY OF SUCH DAMAGES, LOSSES OR CLAIMS.</w:t>
      </w:r>
    </w:p>
    <w:p w14:paraId="38C42D78" w14:textId="59112D3C" w:rsidR="007F1B9B" w:rsidRDefault="007F1B9B" w:rsidP="007F1B9B">
      <w:pPr>
        <w:tabs>
          <w:tab w:val="left" w:pos="-720"/>
        </w:tabs>
        <w:adjustRightInd w:val="0"/>
        <w:spacing w:after="120"/>
        <w:jc w:val="both"/>
        <w:rPr>
          <w:rFonts w:ascii="Arial" w:hAnsi="Arial" w:cs="Arial"/>
          <w:sz w:val="16"/>
          <w:szCs w:val="16"/>
          <w:lang w:val="en"/>
        </w:rPr>
      </w:pPr>
    </w:p>
    <w:p w14:paraId="03012C12" w14:textId="5F0456C6" w:rsidR="007F1B9B" w:rsidRDefault="007F1B9B" w:rsidP="007F1B9B">
      <w:pPr>
        <w:tabs>
          <w:tab w:val="left" w:pos="-720"/>
        </w:tabs>
        <w:adjustRightInd w:val="0"/>
        <w:spacing w:after="120"/>
        <w:jc w:val="both"/>
        <w:rPr>
          <w:rFonts w:ascii="Arial" w:hAnsi="Arial" w:cs="Arial"/>
          <w:sz w:val="16"/>
          <w:szCs w:val="16"/>
          <w:lang w:val="en"/>
        </w:rPr>
      </w:pPr>
    </w:p>
    <w:p w14:paraId="4481D887" w14:textId="325DD945" w:rsidR="007F1B9B" w:rsidRPr="007F1B9B" w:rsidRDefault="007F1B9B" w:rsidP="007F1B9B">
      <w:pPr>
        <w:tabs>
          <w:tab w:val="left" w:pos="-720"/>
        </w:tabs>
        <w:adjustRightInd w:val="0"/>
        <w:spacing w:after="120"/>
        <w:jc w:val="center"/>
        <w:rPr>
          <w:rFonts w:ascii="Arial" w:hAnsi="Arial" w:cs="Arial"/>
          <w:color w:val="5B9BD5" w:themeColor="accent1"/>
          <w:sz w:val="16"/>
          <w:szCs w:val="16"/>
          <w:lang w:val="en"/>
        </w:rPr>
      </w:pPr>
      <w:r w:rsidRPr="007F1B9B">
        <w:rPr>
          <w:rFonts w:ascii="Arial" w:hAnsi="Arial" w:cs="Arial"/>
          <w:color w:val="5B9BD5" w:themeColor="accent1"/>
          <w:sz w:val="16"/>
          <w:szCs w:val="16"/>
          <w:lang w:val="en"/>
        </w:rPr>
        <w:t>(f) Specific to VIEWICS</w:t>
      </w:r>
    </w:p>
    <w:p w14:paraId="55650BC0" w14:textId="20809CDE" w:rsidR="007F1B9B" w:rsidRDefault="007F1B9B" w:rsidP="007F1B9B">
      <w:pPr>
        <w:tabs>
          <w:tab w:val="left" w:pos="-720"/>
        </w:tabs>
        <w:adjustRightInd w:val="0"/>
        <w:spacing w:after="120"/>
        <w:jc w:val="both"/>
        <w:rPr>
          <w:rFonts w:ascii="Arial" w:hAnsi="Arial" w:cs="Arial"/>
          <w:sz w:val="16"/>
          <w:szCs w:val="16"/>
          <w:lang w:val="en"/>
        </w:rPr>
      </w:pPr>
    </w:p>
    <w:p w14:paraId="3E42A5B9" w14:textId="77777777" w:rsidR="007F1B9B" w:rsidRPr="002172DD" w:rsidRDefault="007F1B9B" w:rsidP="007F1B9B">
      <w:pPr>
        <w:jc w:val="center"/>
        <w:rPr>
          <w:b/>
        </w:rPr>
      </w:pPr>
      <w:r w:rsidRPr="002172DD">
        <w:rPr>
          <w:b/>
        </w:rPr>
        <w:t>TABLEAU SOFTWARE END USER AGREEMENT</w:t>
      </w:r>
    </w:p>
    <w:p w14:paraId="1DDC8925" w14:textId="77777777" w:rsidR="007F1B9B" w:rsidRPr="008137DB" w:rsidRDefault="007F1B9B" w:rsidP="007F1B9B">
      <w:r w:rsidRPr="008137DB">
        <w:t xml:space="preserve">1. Definitions </w:t>
      </w:r>
    </w:p>
    <w:p w14:paraId="3086093D" w14:textId="77777777" w:rsidR="007F1B9B" w:rsidRPr="008137DB" w:rsidRDefault="007F1B9B" w:rsidP="007F1B9B">
      <w:r w:rsidRPr="008137DB">
        <w:t>“Authorized User” means each employee or contractor of Customer that is properly authorized by Customer, via the license keys (each Authorized User will be provided unique authentication credentials, which may only be used by the single Authorized User to whom such credentials have been assigned by or on behalf of Roche) (“License Keys”), to install and/or use the functionality of the Software for any purpose regardless of whether those individuals are actively using the programs at any given time. For Desktop Software and User-Based Server Software (both defined below and jointly referred to as “Tableau Software”), each Authorized User must be uniquely identified as users of the Tableau Software. Licenses granted on an Authorized User basis may be reassigned between uniquely identified individuals over time, but may not be reassigned so frequently as to enable the sharing of a single license between multiple Authorized Users. “Contractor” means those independent third parties who perform services for Customer related to this End User Agreement. Capitalized terms not defined in this End User Agreement shall have the meanings ascribed thereto in the Laboratory Management Analytics Solutions Subscription Agreement to which this Exhibit is at</w:t>
      </w:r>
      <w:r>
        <w:t>tached (the “Roche Agreement”).</w:t>
      </w:r>
    </w:p>
    <w:p w14:paraId="211D36DD" w14:textId="77777777" w:rsidR="007F1B9B" w:rsidRPr="008137DB" w:rsidRDefault="007F1B9B" w:rsidP="007F1B9B">
      <w:r w:rsidRPr="008137DB">
        <w:t xml:space="preserve">2. Limited License. </w:t>
      </w:r>
    </w:p>
    <w:p w14:paraId="78CE7D9F" w14:textId="77777777" w:rsidR="007F1B9B" w:rsidRPr="008137DB" w:rsidRDefault="007F1B9B" w:rsidP="007F1B9B">
      <w:r w:rsidRPr="008137DB">
        <w:t xml:space="preserve">Subject to the terms and conditions of this End User Agreement and all restrictions in the applicable </w:t>
      </w:r>
      <w:r>
        <w:t>Schedules</w:t>
      </w:r>
      <w:r w:rsidRPr="008137DB">
        <w:t xml:space="preserve">, Roche grants to Customer a nontransferable, non-sublicenseable, non-exclusive license, during the term specified in the </w:t>
      </w:r>
      <w:r>
        <w:t>Schedule</w:t>
      </w:r>
      <w:r w:rsidRPr="008137DB">
        <w:t xml:space="preserve">, to use the Tableau Software in object code form, in accordance with the applicable Documentation and solely for the Permitted Use. Customers may allow its Contractors to use the Tableau Software in accordance with this End User Agreement, provided that Customer shall remain liable for all acts and omissions of its Contractors as </w:t>
      </w:r>
      <w:r>
        <w:t xml:space="preserve">if their breach were your own. </w:t>
      </w:r>
    </w:p>
    <w:p w14:paraId="24B62597" w14:textId="77777777" w:rsidR="007F1B9B" w:rsidRPr="008137DB" w:rsidRDefault="007F1B9B" w:rsidP="007F1B9B">
      <w:r w:rsidRPr="008137DB">
        <w:t>3. License Scope and Restrictions Tableau Software.</w:t>
      </w:r>
    </w:p>
    <w:p w14:paraId="7ACCC9D3" w14:textId="77777777" w:rsidR="007F1B9B" w:rsidRPr="008137DB" w:rsidRDefault="007F1B9B" w:rsidP="007F1B9B">
      <w:r w:rsidRPr="008137DB">
        <w:lastRenderedPageBreak/>
        <w:t>In order to use the Tableau Software, Customer must activate and/or register its copy with a License Key. 3.1 Tableau Desktop (Professional and Personal) (“Desktop Software”): For each Desktop Software license, Customer may install, via the License Key, one copy of the Desktop Software on one primary computer and a second copy on a secondary portable or home computer for each Authorized User. 3.2 Tableau Server (“Server Software”): The Server Software will be identified as either “User-Based” or “Core-Based” on the</w:t>
      </w:r>
      <w:r w:rsidRPr="002172DD">
        <w:t xml:space="preserve"> </w:t>
      </w:r>
      <w:r>
        <w:t>Schedule</w:t>
      </w:r>
      <w:r w:rsidRPr="008137DB">
        <w:t xml:space="preserve"> (as applicable based on the licensing model specified in the </w:t>
      </w:r>
      <w:r>
        <w:t>Schedule</w:t>
      </w:r>
      <w:r w:rsidRPr="008137DB">
        <w:t xml:space="preserve">). (a) User-Based Server License: If the Server Software license is designated as User-Based, the Authorized Users enabled to use such Server Software across all Production and Non-Production Environments must not exceed the number of licenses purchased on the </w:t>
      </w:r>
      <w:r>
        <w:t>Schedule</w:t>
      </w:r>
      <w:r w:rsidRPr="008137DB">
        <w:t xml:space="preserve">. “User-Based” Server Software licenses may also be referred to in Tableau’s documentation as “Web Client” Server Licenses or “Interactor” Server Licenses. (b) Core-Based Server License: If Customer’s Server Software license is designated on the </w:t>
      </w:r>
      <w:r>
        <w:t>Schedule</w:t>
      </w:r>
      <w:r w:rsidRPr="008137DB">
        <w:t xml:space="preserve"> as Core-Based, for each such license, an unlimited number of Authorized Users may use the Server Software (until Core capacity is reached), provided that the total number of Cores residing on all computers where the Server Software is installed does not exceed the permitted number of Cores identified on the </w:t>
      </w:r>
      <w:r>
        <w:t>Schedule</w:t>
      </w:r>
      <w:r w:rsidRPr="008137DB">
        <w:t xml:space="preserve">. When the Server Software is installed and distributed across multiple computers, all the Cores in each of these computers count toward to the total permitted number of Cores. "Core" means the processor or execution core contained in the same integrated circuit within a computer’s central processing unit, whether such Cores are virtual or physical. 3.3 Non-Production Environments. Customer may use the Server Software in a technical environment and on the platforms and configurations specified in the Documentation, solely for internal development and testing in connection with the Tableau Software, or for disaster recovery purposes (“Non- Production Environment”). Customer’s installation, activation or use of a copy of the Tableau Software in a Non-Production Environment is limited to the same number of Authorized Users and/or permitted number of Cores as provided above. Customer’s use of the Server Software in a Non-Production Environment may be concurrent with Customer’s use of the Software and such use is conditioned on Customer having an authorized license for the Software. Customer is entitled to only two (2) Non-Production Environments. 3.4 Production Environments. As it relates to the Server Software, Customer’s use of the Tableau Software for the purpose of creating, sharing, viewing and/or revising visualizations is considered use within a “Production Environment” and Customer is entitled to one (1) Production Environment for each Server Software license Customer purchase under this End User Agreement. Customer’s use of the Server Software in a Production Environment allows for a single Production Environment regardless of the fact that single Production Environment may consume all the Cores identified on Customer’s invoice or at the time of purchase. 3.5 License Restrictions Customer shall not (and shall not allow any third party to): (a) decompile, disassemble, or otherwise reverse engineer the Tableau Software or Third-Party Code or attempt to reconstruct or discover any source code, underlying ideas, algorithms, file formats or programming interfaces of the Tableau Software or Third-Party Code by any means whatsoever (except and only to the extent that applicable law prohibits or restricts reverse engineering restrictions, or as permitted by an applicable Open Source Software license); (b) distribute, sell, sublicense, rent, lease or use the Tableau Software or Third-Party Code for time sharing, hosting, service provider or like purposes; (c) remove any product identification, proprietary, copyright, trademark, service mark, or other notices contained in the Tableau Software or Third-Party Code; (d) modify any part of the Tableau Software or Third-Party Code, create a derivative work of any part of the Tableau Software or Third-Party Code, or incorporate the Tableau Software or Third-Party Code into or with other software, except to the extent expressly authorized in writing by Tableau; (e) publicly disseminate performance information or analysis (including, without limitation, benchmarks) from any source relating to the Tableau Software; (f) utilize any equipment, device, software, or other means designed to circumvent or remove any form of License Key or copy protection used by Tableau in connection with the Tableau Software, or use the Tableau Software together with any authorization code, License Key, serial number, or other copy protection device not supplied by Roche (or Tableau); (g) use the Tableau Software to develop a product which </w:t>
      </w:r>
      <w:r w:rsidRPr="008137DB">
        <w:lastRenderedPageBreak/>
        <w:t>is competitive with any Tableau Software offerings; (h) use unauthorized License Keys or keycode(s) or distribute or publish keycode(s) except as may be expressly permitted by Tableau in writing; (i) as applicable to Desktop or User-Based Server, enable access to the Tableau Software for a greater number of Authorized Users than the sum quantity of licenses purchased on the applicable</w:t>
      </w:r>
      <w:r w:rsidRPr="002172DD">
        <w:t xml:space="preserve"> </w:t>
      </w:r>
      <w:r>
        <w:t>Schedule</w:t>
      </w:r>
      <w:r w:rsidRPr="008137DB">
        <w:t xml:space="preserve"> (s); or (j) as applicable to Desktop or User-Based Server, reassign license rights between Authorized Users so frequently as to enable a single license to be sh</w:t>
      </w:r>
      <w:r>
        <w:t xml:space="preserve">ared between Authorized Users. </w:t>
      </w:r>
    </w:p>
    <w:p w14:paraId="1D6797CB" w14:textId="77777777" w:rsidR="007F1B9B" w:rsidRPr="008137DB" w:rsidRDefault="007F1B9B" w:rsidP="007F1B9B">
      <w:r w:rsidRPr="008137DB">
        <w:t xml:space="preserve">4. Ownership. </w:t>
      </w:r>
    </w:p>
    <w:p w14:paraId="2A370F34" w14:textId="77777777" w:rsidR="007F1B9B" w:rsidRPr="008137DB" w:rsidRDefault="007F1B9B" w:rsidP="007F1B9B">
      <w:r w:rsidRPr="008137DB">
        <w:t>Notwithstanding anything to the contrary, except for the limited license rights expressly provided to Customer, Tableau and its licensors have and will retain all rights, title and interest (including without limitation all patent, copyright, trademark, trade secret and other intellectual property rights) in and to the Tableau Software, Third-Party Code and all copies, modifications and derivative works thereof (including any changes which incorporate any of Customer’s ideas, feedback or suggestions). Customer acknowledges that it is obtaining only a limited license right to the Tableau Software and Third-Party Code and that irrespective of any use of the words “purchase”, “sale” or like terms hereunder no ownership rights are being conveyed to Customer under the En</w:t>
      </w:r>
      <w:r>
        <w:t xml:space="preserve">d User Agreement or otherwise. </w:t>
      </w:r>
    </w:p>
    <w:p w14:paraId="1D4F0A2C" w14:textId="77777777" w:rsidR="007F1B9B" w:rsidRPr="008137DB" w:rsidRDefault="007F1B9B" w:rsidP="007F1B9B">
      <w:r w:rsidRPr="008137DB">
        <w:t xml:space="preserve">5. Confidentiality. </w:t>
      </w:r>
    </w:p>
    <w:p w14:paraId="7C45EA03" w14:textId="77777777" w:rsidR="007F1B9B" w:rsidRPr="008137DB" w:rsidRDefault="007F1B9B" w:rsidP="007F1B9B">
      <w:r w:rsidRPr="008137DB">
        <w:t>Customer acknowledges that, it may obtain information relating to the Tableau Software or Tableau, including, but not limited to, code, technology, know-how, ideas, algorithms, testing procedures, structure, interfaces, specifications, documentation, bugs, problem reports, analysis and performance information, and other technical, business, product, and data (“Confidential Information”). Customer shall not disclose Confidential Information to any third party or use Confidential Information for any purpose other than the use of the Tableau Software as licensed</w:t>
      </w:r>
      <w:r>
        <w:t xml:space="preserve"> under the End User Agreement. </w:t>
      </w:r>
    </w:p>
    <w:p w14:paraId="212F5F7D" w14:textId="77777777" w:rsidR="007F1B9B" w:rsidRPr="008137DB" w:rsidRDefault="007F1B9B" w:rsidP="007F1B9B">
      <w:r w:rsidRPr="008137DB">
        <w:t xml:space="preserve">6. Warranty Disclaimer. </w:t>
      </w:r>
    </w:p>
    <w:p w14:paraId="316F158E" w14:textId="77777777" w:rsidR="007F1B9B" w:rsidRDefault="007F1B9B" w:rsidP="007F1B9B">
      <w:r w:rsidRPr="008137DB">
        <w:t>EXCEPT FOR ANY WARRANTY THAT MAY BE OFFERED BY ROCHE, THE TABLEAU SOFTWARE, INCLUDING WITHOUT LIMITATION THE THIRD-PARTY CODE, IS PROVIDED “AS IS” AND TABLEAU MAKES NO WARRANTIES TO ANY PERSON OR ENTITY WITH RESPECT TO THE TABLEAU SOFTWARE AND DISCLAIMS ALL IMPLIED WARRANTIES, INCLUDING WITHOUT LIMITATION WARRANTIES OF TITLE, NONINFRINGEMENT, MERCHANTABILITY AND FI</w:t>
      </w:r>
      <w:r>
        <w:t xml:space="preserve">TNESS FOR A PARTICULAR PURPOSE </w:t>
      </w:r>
    </w:p>
    <w:p w14:paraId="0D9AA595" w14:textId="77777777" w:rsidR="007F1B9B" w:rsidRPr="008137DB" w:rsidRDefault="007F1B9B" w:rsidP="007F1B9B">
      <w:r w:rsidRPr="008137DB">
        <w:t xml:space="preserve">7. Limitation of Damages and Remedies </w:t>
      </w:r>
    </w:p>
    <w:p w14:paraId="00CEF310" w14:textId="77777777" w:rsidR="007F1B9B" w:rsidRPr="008137DB" w:rsidRDefault="007F1B9B" w:rsidP="007F1B9B">
      <w:r w:rsidRPr="008137DB">
        <w:t>IN NO EVENT SHALL TABLEAU BE LIABLE UNDER CONTRACT, TORT, STRICT LIABILITY OR OTHER LEGAL OR EQUITABLE THEORY FOR ANY INDIRECT, INCIDENTAL, SPECIAL OR CONSEQUENTIAL DAMAGES IN CONNECTION WITH THE TABLEAU SOFTWARE. NOTWITHSTANDING ANYTHING IN THE END USER AGREEMENT TO THE CONTRARY, THE TOTAL LIABILITY OF TABLEAU TO CUSTOMER, INCLUDING BUT NOT LIMITED TO DAMAGES OR LIABILITY ARISING OUT OF CONTRACT, TORT, BREACH OF WARRANTY, INFRINGEMENT OR OTHERWISE, SHALL NOT IN ANY EVENT EXCEED THE FEES PAID BY CUSTOMER WITH RESPECT TO THE TABLEAU SOFTWARE. TABLEAU SHALL NOT BE LIABLE FOR LOSS OR INACCURACY OF DATA, COST OF PROCUREMENT OF SUBSTITUTE GOODS OR SERVICES, SYSTEM DOWNTIME, GOODWILL, PROFITS OR OTHER BUSINESS LOSS, REGARDLESS OF LEGAL THEORY, EVEN IF TABLEAU HAS BEEN ADVISED OF THE POSSIBILITY OF SUCH DAMAGES. THE PARTIES AGREE THAT THE LIMITATIONS OF THIS SECTION ARE ESSENTIAL AND THAT TABLEAU WOULD NOT PERMIT CUSTOMER TO USE THE TABLEAU SOFTWARE ABSENT THE TERMS OF THIS SECTION. THIS SECTION SHALL SURVIVE AND APPLY EVEN IF ANY REMEDY SPECIFIED IN THE END USER AGREEMENT SHALL BE FOUND TO HAVE FAILED OF ITS ESSENTI</w:t>
      </w:r>
      <w:r>
        <w:t xml:space="preserve">AL PURPOSE. </w:t>
      </w:r>
    </w:p>
    <w:p w14:paraId="1E4F6D8E" w14:textId="77777777" w:rsidR="007F1B9B" w:rsidRPr="008137DB" w:rsidRDefault="007F1B9B" w:rsidP="007F1B9B">
      <w:r w:rsidRPr="008137DB">
        <w:t xml:space="preserve">8. Export Compliance. </w:t>
      </w:r>
    </w:p>
    <w:p w14:paraId="682A91AA" w14:textId="77777777" w:rsidR="007F1B9B" w:rsidRPr="008137DB" w:rsidRDefault="007F1B9B" w:rsidP="007F1B9B">
      <w:r w:rsidRPr="008137DB">
        <w:lastRenderedPageBreak/>
        <w:t>Customer acknowledges that the Tableau Software is subject to United States export control and economic sanctions laws, regulations and requirements and to import laws, regulations and requirements of certain foreign governments. Customer shall not, and shall not allow any third party to, export from the United States or allow the re-export or re-transfer of any part of the Tableau Software: (i) to any country subject to export control embargo or economic sanctions implemented by any agency of the U.S. Government; (ii) to any person or entity on any of the U.S. Government’s Lists of Parties of Concern (http://www.bis.doc.gov/index.php/policyguidance/lists-of-parties-of-concern); (iii) to any known end-user or for any known end-use related to the proliferation of nuclear, chemical or biological weapons or missiles, without first obtaining any export license or other approval that may be required by any U.S. Government agency having jurisdiction with respect to the transaction; or (iv) otherwise in violation of any export or import laws, regulations or requirements of any United States o</w:t>
      </w:r>
      <w:r>
        <w:t xml:space="preserve">r foreign agency or authority. </w:t>
      </w:r>
    </w:p>
    <w:p w14:paraId="44230B20" w14:textId="77777777" w:rsidR="007F1B9B" w:rsidRPr="008137DB" w:rsidRDefault="007F1B9B" w:rsidP="007F1B9B">
      <w:r w:rsidRPr="008137DB">
        <w:t xml:space="preserve">9. Government End-Users. </w:t>
      </w:r>
    </w:p>
    <w:p w14:paraId="0F6E9D0D" w14:textId="77777777" w:rsidR="007F1B9B" w:rsidRPr="008137DB" w:rsidRDefault="007F1B9B" w:rsidP="007F1B9B">
      <w:r w:rsidRPr="008137DB">
        <w:t>The Tableau Software is commercial computer software. If the user or licensee of the Tableau Software is an agency, department, or other entity of the United States Government, the use, duplication, reproduction, release, modification, disclosure, or transfer of the Tableau Software, or any related documentation of any kind, including technical data and manuals, is restricted by a license agreement or by the terms of this End User Agreement in accordance with Federal Acquisition Regulation 12.212 for civilian purposes and Defense Federal Acquisition Regulation Supplement 227.7202 for military purposes. The Tableau Software was developed fully at private expense. All other use is prohibited. 10. Audit Rights. Upon Tableau’s written request, Customer shall certify in a signed writing that its use of the Tableau Software is in full compliance with the terms of the End User Agreement (including any core and user limitations) ) and provide a current list of Authorized Users for Desktop and User-Based Server licenses. With prior reasonable notice, Tableau may audit the copies of the Tableau Software in use by Customer, software monitoring system and records, provided such audit is during regular business hours. If such inspections or audits disclose that Customer has installed, accessed or permitted access to the Tableau Software in a manner that is not permitted under this Agreement, then Customer is liable for the reasonable costs of the audit in addition to any other fees, damages and penalties Tableau may be entitled to under this End User</w:t>
      </w:r>
      <w:r>
        <w:t xml:space="preserve"> Agreement and applicable law. </w:t>
      </w:r>
    </w:p>
    <w:p w14:paraId="218BA7B5" w14:textId="3E53DCB8" w:rsidR="007F1B9B" w:rsidRPr="008137DB" w:rsidRDefault="000F794A" w:rsidP="007F1B9B">
      <w:r>
        <w:t>10</w:t>
      </w:r>
      <w:r w:rsidR="007F1B9B" w:rsidRPr="008137DB">
        <w:t>. Third Party Beneficiary.</w:t>
      </w:r>
    </w:p>
    <w:p w14:paraId="05AD9623" w14:textId="77777777" w:rsidR="007F1B9B" w:rsidRPr="008137DB" w:rsidRDefault="007F1B9B" w:rsidP="007F1B9B">
      <w:r w:rsidRPr="008137DB">
        <w:t xml:space="preserve"> Customer acknowledges that Tableau has a substantial interest in the Tableau Software and that Tableau is a third party beneficiary to the End User Agreement. As such, Tableau has full right to bring any action against Customer, including injunctive action, to enforce the te</w:t>
      </w:r>
      <w:r>
        <w:t xml:space="preserve">rms of the End User Agreement. </w:t>
      </w:r>
    </w:p>
    <w:p w14:paraId="6F6565D9" w14:textId="62C8A275" w:rsidR="007F1B9B" w:rsidRPr="008137DB" w:rsidRDefault="000F794A" w:rsidP="007F1B9B">
      <w:r>
        <w:t>11</w:t>
      </w:r>
      <w:r w:rsidR="007F1B9B" w:rsidRPr="008137DB">
        <w:t xml:space="preserve">. Third-Party Code. </w:t>
      </w:r>
    </w:p>
    <w:p w14:paraId="20012B52" w14:textId="77777777" w:rsidR="007F1B9B" w:rsidRPr="008137DB" w:rsidRDefault="007F1B9B" w:rsidP="007F1B9B">
      <w:r w:rsidRPr="008137DB">
        <w:t>The Tableau Software may contain or be provided with components which are licensed from third parties (“Third Party Code”), including components subject to the terms and conditions of “open source” software licenses (“Open Source Software”). Open Source Software may be identified in the Documentation, or in a list of the Open Source Software provided to Customer upon Customer’s written request. To the extent required by the license that accompanies the Open Source Software, the terms of such license will apply in lieu of the terms of this End User Agreement with respect to such Open Source Software, including, without limitation, any provisions governing access to source code, modifi</w:t>
      </w:r>
      <w:r>
        <w:t xml:space="preserve">cation or reverse engineering. </w:t>
      </w:r>
    </w:p>
    <w:p w14:paraId="67E7BB6F" w14:textId="313408C4" w:rsidR="007F1B9B" w:rsidRPr="008137DB" w:rsidRDefault="000F794A" w:rsidP="007F1B9B">
      <w:r>
        <w:t>12</w:t>
      </w:r>
      <w:r w:rsidR="007F1B9B" w:rsidRPr="008137DB">
        <w:t xml:space="preserve">. Termination and Survival. </w:t>
      </w:r>
    </w:p>
    <w:p w14:paraId="010EBB82" w14:textId="400E7893" w:rsidR="007F1B9B" w:rsidRPr="007F1B9B" w:rsidRDefault="007F1B9B" w:rsidP="007F1B9B">
      <w:pPr>
        <w:tabs>
          <w:tab w:val="left" w:pos="-720"/>
        </w:tabs>
        <w:adjustRightInd w:val="0"/>
        <w:spacing w:after="120"/>
        <w:jc w:val="both"/>
        <w:rPr>
          <w:rFonts w:ascii="Arial" w:eastAsia="Calibri" w:hAnsi="Arial" w:cs="Arial"/>
          <w:spacing w:val="3"/>
          <w:sz w:val="16"/>
          <w:szCs w:val="16"/>
        </w:rPr>
      </w:pPr>
      <w:r w:rsidRPr="008137DB">
        <w:t>Upon termination of the Roche Agreement (or expiration of the license term of the End User Agreement), Customer must immediately cease use of the Tableau Software and remove the Tableau Software from its systems. The terms set forth in the sections entitled License Restrictions, Ownership, Confidentiality, Warranty Disclaimer, Limitation of Damages and Remedies, and Third Party Beneficiary shall survive any termination of the End User Agreement.</w:t>
      </w:r>
    </w:p>
    <w:p w14:paraId="28117B69" w14:textId="24C20770" w:rsidR="007F1B9B" w:rsidRPr="007F1B9B" w:rsidRDefault="007F1B9B" w:rsidP="007F1B9B">
      <w:pPr>
        <w:pStyle w:val="BodyText2"/>
        <w:pBdr>
          <w:bottom w:val="none" w:sz="0" w:space="0" w:color="auto"/>
        </w:pBdr>
        <w:spacing w:line="240" w:lineRule="auto"/>
        <w:rPr>
          <w:rFonts w:ascii="Minion" w:hAnsi="Minion" w:cs="Arial"/>
          <w:sz w:val="24"/>
        </w:rPr>
      </w:pPr>
    </w:p>
    <w:sectPr w:rsidR="007F1B9B" w:rsidRPr="007F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wiss Roman 11p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A9"/>
    <w:multiLevelType w:val="multilevel"/>
    <w:tmpl w:val="D07CC0DE"/>
    <w:lvl w:ilvl="0">
      <w:start w:val="1"/>
      <w:numFmt w:val="decimal"/>
      <w:pStyle w:val="TVH1"/>
      <w:lvlText w:val="%1."/>
      <w:lvlJc w:val="left"/>
      <w:pPr>
        <w:tabs>
          <w:tab w:val="num" w:pos="720"/>
        </w:tabs>
        <w:ind w:left="0" w:firstLine="0"/>
      </w:pPr>
      <w:rPr>
        <w:rFonts w:hint="default"/>
      </w:rPr>
    </w:lvl>
    <w:lvl w:ilvl="1">
      <w:start w:val="1"/>
      <w:numFmt w:val="lowerLetter"/>
      <w:pStyle w:val="TVH2"/>
      <w:lvlText w:val="(%2)"/>
      <w:lvlJc w:val="left"/>
      <w:pPr>
        <w:tabs>
          <w:tab w:val="num" w:pos="1440"/>
        </w:tabs>
        <w:ind w:left="1440" w:hanging="720"/>
      </w:pPr>
      <w:rPr>
        <w:rFonts w:hint="default"/>
        <w:i w:val="0"/>
      </w:rPr>
    </w:lvl>
    <w:lvl w:ilvl="2">
      <w:start w:val="1"/>
      <w:numFmt w:val="lowerRoman"/>
      <w:lvlText w:val="%3."/>
      <w:lvlJc w:val="righ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A1EDC"/>
    <w:multiLevelType w:val="hybridMultilevel"/>
    <w:tmpl w:val="32A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14C"/>
    <w:multiLevelType w:val="multilevel"/>
    <w:tmpl w:val="E2B260B0"/>
    <w:name w:val="zzmpLegal2||Legal2|2|3|1|1|0|9||1|4|1||1|4|1||1|4|1||1|4|0||1|4|0||1|4|0||1|4|0||1|4|0||"/>
    <w:lvl w:ilvl="0">
      <w:start w:val="1"/>
      <w:numFmt w:val="decimal"/>
      <w:pStyle w:val="Legal2L1"/>
      <w:lvlText w:val="%1."/>
      <w:lvlJc w:val="left"/>
      <w:pPr>
        <w:tabs>
          <w:tab w:val="num" w:pos="720"/>
        </w:tabs>
        <w:ind w:left="0" w:firstLine="0"/>
      </w:pPr>
      <w:rPr>
        <w:rFonts w:ascii="Times New Roman" w:hAnsi="Times New Roman" w:cs="Times New Roman"/>
        <w:b w:val="0"/>
        <w:i w:val="0"/>
        <w:caps/>
        <w:smallCaps w:val="0"/>
        <w:sz w:val="22"/>
        <w:szCs w:val="22"/>
        <w:u w:val="none"/>
      </w:rPr>
    </w:lvl>
    <w:lvl w:ilvl="1">
      <w:start w:val="1"/>
      <w:numFmt w:val="decimal"/>
      <w:pStyle w:val="Legal2L2"/>
      <w:lvlText w:val="%1.%2"/>
      <w:lvlJc w:val="left"/>
      <w:pPr>
        <w:tabs>
          <w:tab w:val="num" w:pos="1440"/>
        </w:tabs>
        <w:ind w:left="0" w:firstLine="720"/>
      </w:pPr>
      <w:rPr>
        <w:rFonts w:ascii="Times New Roman" w:hAnsi="Times New Roman" w:cs="Times New Roman"/>
        <w:b w:val="0"/>
        <w:i w:val="0"/>
        <w:caps w:val="0"/>
        <w:sz w:val="24"/>
        <w:szCs w:val="24"/>
        <w:u w:val="none"/>
      </w:rPr>
    </w:lvl>
    <w:lvl w:ilvl="2">
      <w:start w:val="1"/>
      <w:numFmt w:val="lowerLetter"/>
      <w:pStyle w:val="Legal2L3"/>
      <w:lvlText w:val="(%3)"/>
      <w:lvlJc w:val="left"/>
      <w:pPr>
        <w:tabs>
          <w:tab w:val="num" w:pos="2160"/>
        </w:tabs>
        <w:ind w:left="0" w:firstLine="1440"/>
      </w:pPr>
      <w:rPr>
        <w:rFonts w:ascii="Times New Roman" w:hAnsi="Times New Roman" w:cs="Times New Roman"/>
        <w:b w:val="0"/>
        <w:i w:val="0"/>
        <w:caps w:val="0"/>
        <w:sz w:val="22"/>
        <w:szCs w:val="22"/>
        <w:u w:val="none"/>
      </w:rPr>
    </w:lvl>
    <w:lvl w:ilvl="3">
      <w:start w:val="1"/>
      <w:numFmt w:val="lowerRoman"/>
      <w:pStyle w:val="Legal2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decimal"/>
      <w:pStyle w:val="Legal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3" w15:restartNumberingAfterBreak="0">
    <w:nsid w:val="06830CC1"/>
    <w:multiLevelType w:val="multilevel"/>
    <w:tmpl w:val="E5B88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08961A2E"/>
    <w:multiLevelType w:val="multilevel"/>
    <w:tmpl w:val="165AD32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415F6D"/>
    <w:multiLevelType w:val="hybridMultilevel"/>
    <w:tmpl w:val="4F76EBBA"/>
    <w:lvl w:ilvl="0" w:tplc="3C4A4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208C7"/>
    <w:multiLevelType w:val="singleLevel"/>
    <w:tmpl w:val="D0AE5010"/>
    <w:lvl w:ilvl="0">
      <w:start w:val="1"/>
      <w:numFmt w:val="decimal"/>
      <w:lvlText w:val="%1."/>
      <w:lvlJc w:val="left"/>
      <w:pPr>
        <w:tabs>
          <w:tab w:val="num" w:pos="720"/>
        </w:tabs>
        <w:ind w:left="720" w:hanging="720"/>
      </w:pPr>
      <w:rPr>
        <w:rFonts w:cs="Times New Roman"/>
        <w:b w:val="0"/>
        <w:i w:val="0"/>
      </w:rPr>
    </w:lvl>
  </w:abstractNum>
  <w:abstractNum w:abstractNumId="7" w15:restartNumberingAfterBreak="0">
    <w:nsid w:val="165D1B87"/>
    <w:multiLevelType w:val="hybridMultilevel"/>
    <w:tmpl w:val="3942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F2A90"/>
    <w:multiLevelType w:val="hybridMultilevel"/>
    <w:tmpl w:val="45D457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47093"/>
    <w:multiLevelType w:val="hybridMultilevel"/>
    <w:tmpl w:val="0F30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21948"/>
    <w:multiLevelType w:val="hybridMultilevel"/>
    <w:tmpl w:val="321256D8"/>
    <w:lvl w:ilvl="0" w:tplc="8BA83F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75F0C"/>
    <w:multiLevelType w:val="hybridMultilevel"/>
    <w:tmpl w:val="7A7E9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670A2"/>
    <w:multiLevelType w:val="hybridMultilevel"/>
    <w:tmpl w:val="F976EA8C"/>
    <w:lvl w:ilvl="0" w:tplc="A42E2A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61371"/>
    <w:multiLevelType w:val="hybridMultilevel"/>
    <w:tmpl w:val="CABC153C"/>
    <w:lvl w:ilvl="0" w:tplc="0409000F">
      <w:start w:val="1"/>
      <w:numFmt w:val="decimal"/>
      <w:lvlText w:val="%1."/>
      <w:lvlJc w:val="left"/>
      <w:pPr>
        <w:ind w:left="720" w:hanging="360"/>
      </w:pPr>
      <w:rPr>
        <w:rFonts w:hint="default"/>
      </w:rPr>
    </w:lvl>
    <w:lvl w:ilvl="1" w:tplc="E6F61AE8">
      <w:start w:val="1"/>
      <w:numFmt w:val="lowerLetter"/>
      <w:lvlText w:val="%2."/>
      <w:lvlJc w:val="left"/>
      <w:pPr>
        <w:ind w:left="1440" w:hanging="360"/>
      </w:pPr>
      <w:rPr>
        <w:b w:val="0"/>
      </w:rPr>
    </w:lvl>
    <w:lvl w:ilvl="2" w:tplc="180CEADE">
      <w:start w:val="1"/>
      <w:numFmt w:val="bullet"/>
      <w:lvlText w:val=""/>
      <w:lvlJc w:val="left"/>
      <w:pPr>
        <w:ind w:left="2340" w:hanging="360"/>
      </w:pPr>
      <w:rPr>
        <w:rFonts w:ascii="Symbol" w:eastAsia="Times New Roman" w:hAnsi="Symbo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1C22"/>
    <w:multiLevelType w:val="hybridMultilevel"/>
    <w:tmpl w:val="F2FAF1E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2FD43EA2">
      <w:start w:val="3"/>
      <w:numFmt w:val="lowerLetter"/>
      <w:lvlText w:val="%3)"/>
      <w:lvlJc w:val="left"/>
      <w:pPr>
        <w:ind w:left="1980" w:hanging="360"/>
      </w:pPr>
      <w:rPr>
        <w:rFonts w:cstheme="minorBidi" w:hint="default"/>
        <w:color w:val="8496B0" w:themeColor="text2" w:themeTint="99"/>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D5B9A"/>
    <w:multiLevelType w:val="multilevel"/>
    <w:tmpl w:val="99385FB8"/>
    <w:lvl w:ilvl="0">
      <w:start w:val="1"/>
      <w:numFmt w:val="decimal"/>
      <w:lvlText w:val="%1."/>
      <w:lvlJc w:val="left"/>
      <w:pPr>
        <w:tabs>
          <w:tab w:val="num" w:pos="360"/>
        </w:tabs>
        <w:ind w:left="504" w:hanging="504"/>
      </w:pPr>
      <w:rPr>
        <w:rFonts w:hint="default"/>
      </w:rPr>
    </w:lvl>
    <w:lvl w:ilvl="1">
      <w:start w:val="1"/>
      <w:numFmt w:val="decimal"/>
      <w:suff w:val="space"/>
      <w:lvlText w:val="%1.%2."/>
      <w:lvlJc w:val="left"/>
      <w:pPr>
        <w:ind w:left="0" w:firstLine="576"/>
      </w:pPr>
      <w:rPr>
        <w:rFonts w:hint="default"/>
        <w:b w:val="0"/>
        <w:i w:val="0"/>
      </w:rPr>
    </w:lvl>
    <w:lvl w:ilvl="2">
      <w:start w:val="1"/>
      <w:numFmt w:val="lowerRoman"/>
      <w:lvlText w:val="(%3)"/>
      <w:lvlJc w:val="left"/>
      <w:pPr>
        <w:tabs>
          <w:tab w:val="num" w:pos="720"/>
        </w:tabs>
        <w:ind w:left="0" w:firstLine="720"/>
      </w:pPr>
      <w:rPr>
        <w:rFonts w:hint="default"/>
        <w:i w:val="0"/>
      </w:rPr>
    </w:lvl>
    <w:lvl w:ilvl="3">
      <w:start w:val="1"/>
      <w:numFmt w:val="decimal"/>
      <w:lvlText w:val="%1.%2.%3.%4."/>
      <w:lvlJc w:val="left"/>
      <w:pPr>
        <w:tabs>
          <w:tab w:val="num" w:pos="360"/>
        </w:tabs>
        <w:ind w:left="504" w:hanging="144"/>
      </w:pPr>
      <w:rPr>
        <w:rFonts w:hint="default"/>
      </w:rPr>
    </w:lvl>
    <w:lvl w:ilvl="4">
      <w:start w:val="1"/>
      <w:numFmt w:val="decimal"/>
      <w:lvlText w:val="%1.%2.%3.%4.%5."/>
      <w:lvlJc w:val="left"/>
      <w:pPr>
        <w:tabs>
          <w:tab w:val="num" w:pos="360"/>
        </w:tabs>
        <w:ind w:left="504" w:hanging="144"/>
      </w:pPr>
      <w:rPr>
        <w:rFonts w:hint="default"/>
      </w:rPr>
    </w:lvl>
    <w:lvl w:ilvl="5">
      <w:start w:val="1"/>
      <w:numFmt w:val="decimal"/>
      <w:lvlText w:val="%1.%2.%3.%4.%5.%6."/>
      <w:lvlJc w:val="left"/>
      <w:pPr>
        <w:tabs>
          <w:tab w:val="num" w:pos="360"/>
        </w:tabs>
        <w:ind w:left="504" w:hanging="144"/>
      </w:pPr>
      <w:rPr>
        <w:rFonts w:hint="default"/>
      </w:rPr>
    </w:lvl>
    <w:lvl w:ilvl="6">
      <w:start w:val="1"/>
      <w:numFmt w:val="decimal"/>
      <w:lvlText w:val="%1.%2.%3.%4.%5.%6.%7."/>
      <w:lvlJc w:val="left"/>
      <w:pPr>
        <w:tabs>
          <w:tab w:val="num" w:pos="360"/>
        </w:tabs>
        <w:ind w:left="504" w:hanging="144"/>
      </w:pPr>
      <w:rPr>
        <w:rFonts w:hint="default"/>
      </w:rPr>
    </w:lvl>
    <w:lvl w:ilvl="7">
      <w:start w:val="1"/>
      <w:numFmt w:val="decimal"/>
      <w:lvlText w:val="%1.%2.%3.%4.%5.%6.%7.%8."/>
      <w:lvlJc w:val="left"/>
      <w:pPr>
        <w:tabs>
          <w:tab w:val="num" w:pos="360"/>
        </w:tabs>
        <w:ind w:left="504" w:hanging="144"/>
      </w:pPr>
      <w:rPr>
        <w:rFonts w:hint="default"/>
      </w:rPr>
    </w:lvl>
    <w:lvl w:ilvl="8">
      <w:start w:val="1"/>
      <w:numFmt w:val="decimal"/>
      <w:lvlText w:val="%1.%2.%3.%4.%5.%6.%7.%8.%9."/>
      <w:lvlJc w:val="left"/>
      <w:pPr>
        <w:tabs>
          <w:tab w:val="num" w:pos="360"/>
        </w:tabs>
        <w:ind w:left="504" w:hanging="144"/>
      </w:pPr>
      <w:rPr>
        <w:rFonts w:hint="default"/>
      </w:rPr>
    </w:lvl>
  </w:abstractNum>
  <w:abstractNum w:abstractNumId="16" w15:restartNumberingAfterBreak="0">
    <w:nsid w:val="3B3E054D"/>
    <w:multiLevelType w:val="multilevel"/>
    <w:tmpl w:val="50FA1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E46E2D"/>
    <w:multiLevelType w:val="multilevel"/>
    <w:tmpl w:val="419ECE50"/>
    <w:lvl w:ilvl="0">
      <w:start w:val="1"/>
      <w:numFmt w:val="decimal"/>
      <w:lvlText w:val="%1."/>
      <w:lvlJc w:val="left"/>
      <w:pPr>
        <w:ind w:left="828" w:hanging="468"/>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AD63D3A"/>
    <w:multiLevelType w:val="multilevel"/>
    <w:tmpl w:val="E5B888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36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C7C0010"/>
    <w:multiLevelType w:val="multilevel"/>
    <w:tmpl w:val="667AD8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7702685"/>
    <w:multiLevelType w:val="hybridMultilevel"/>
    <w:tmpl w:val="DC7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37982"/>
    <w:multiLevelType w:val="hybridMultilevel"/>
    <w:tmpl w:val="4698C406"/>
    <w:lvl w:ilvl="0" w:tplc="F954AA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551C2"/>
    <w:multiLevelType w:val="hybridMultilevel"/>
    <w:tmpl w:val="0CF09B6A"/>
    <w:lvl w:ilvl="0" w:tplc="FFFFFFFF">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00"/>
        </w:tabs>
        <w:ind w:left="1800" w:hanging="360"/>
      </w:pPr>
    </w:lvl>
    <w:lvl w:ilvl="2" w:tplc="FFFFFFFF">
      <w:start w:val="1"/>
      <w:numFmt w:val="lowerRoman"/>
      <w:lvlText w:val="%3."/>
      <w:lvlJc w:val="left"/>
      <w:pPr>
        <w:tabs>
          <w:tab w:val="num" w:pos="2700"/>
        </w:tabs>
        <w:ind w:left="2700" w:hanging="360"/>
      </w:pPr>
      <w:rPr>
        <w:rFonts w:hint="default"/>
        <w:b w:val="0"/>
      </w:r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3C71DDF"/>
    <w:multiLevelType w:val="hybridMultilevel"/>
    <w:tmpl w:val="8F8C8376"/>
    <w:lvl w:ilvl="0" w:tplc="D2F6E7A0">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E0EC4"/>
    <w:multiLevelType w:val="multilevel"/>
    <w:tmpl w:val="396A0CE0"/>
    <w:name w:val="(Unnamed Numbering Scheme)"/>
    <w:lvl w:ilvl="0">
      <w:start w:val="1"/>
      <w:numFmt w:val="decimal"/>
      <w:pStyle w:val="GHX1"/>
      <w:lvlText w:val="%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pStyle w:val="GHX2"/>
      <w:lvlText w:val="%1.%2."/>
      <w:lvlJc w:val="left"/>
      <w:pPr>
        <w:tabs>
          <w:tab w:val="num" w:pos="1080"/>
        </w:tabs>
        <w:ind w:left="180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pStyle w:val="GHX3"/>
      <w:lvlText w:val="%1.%2.%3."/>
      <w:lvlJc w:val="left"/>
      <w:pPr>
        <w:ind w:left="216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pStyle w:val="GHX4"/>
      <w:lvlText w:val="(%4)  "/>
      <w:lvlJc w:val="left"/>
      <w:pPr>
        <w:tabs>
          <w:tab w:val="num" w:pos="2160"/>
        </w:tabs>
        <w:ind w:left="288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GHX5"/>
      <w:lvlText w:val="(%5)"/>
      <w:lvlJc w:val="left"/>
      <w:pPr>
        <w:tabs>
          <w:tab w:val="num" w:pos="2952"/>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none"/>
      <w:pStyle w:val="Heading6"/>
      <w:suff w:val="nothing"/>
      <w:lvlText w:val="  "/>
      <w:lvlJc w:val="left"/>
      <w:pPr>
        <w:ind w:left="1152" w:hanging="432"/>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none"/>
      <w:pStyle w:val="Heading7"/>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none"/>
      <w:pStyle w:val="Heading8"/>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pStyle w:val="Heading9"/>
      <w:suff w:val="nothing"/>
      <w:lvlText w:val="  "/>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25" w15:restartNumberingAfterBreak="0">
    <w:nsid w:val="64B23D3E"/>
    <w:multiLevelType w:val="hybridMultilevel"/>
    <w:tmpl w:val="6A1E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114A4"/>
    <w:multiLevelType w:val="hybridMultilevel"/>
    <w:tmpl w:val="7766E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B46292"/>
    <w:multiLevelType w:val="multilevel"/>
    <w:tmpl w:val="D6306B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6A2A15"/>
    <w:multiLevelType w:val="multilevel"/>
    <w:tmpl w:val="2D7656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36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080" w:hanging="72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440" w:hanging="1080"/>
      </w:pPr>
      <w:rPr>
        <w:rFonts w:hint="default"/>
        <w:b/>
        <w:color w:val="auto"/>
      </w:rPr>
    </w:lvl>
    <w:lvl w:ilvl="8">
      <w:start w:val="1"/>
      <w:numFmt w:val="decimal"/>
      <w:isLgl/>
      <w:lvlText w:val="%1.%2.%3.%4.%5.%6.%7.%8.%9"/>
      <w:lvlJc w:val="left"/>
      <w:pPr>
        <w:ind w:left="1800" w:hanging="1440"/>
      </w:pPr>
      <w:rPr>
        <w:rFonts w:hint="default"/>
        <w:b/>
        <w:color w:val="auto"/>
      </w:rPr>
    </w:lvl>
  </w:abstractNum>
  <w:num w:numId="1">
    <w:abstractNumId w:val="14"/>
  </w:num>
  <w:num w:numId="2">
    <w:abstractNumId w:val="21"/>
  </w:num>
  <w:num w:numId="3">
    <w:abstractNumId w:val="6"/>
  </w:num>
  <w:num w:numId="4">
    <w:abstractNumId w:val="0"/>
  </w:num>
  <w:num w:numId="5">
    <w:abstractNumId w:val="4"/>
  </w:num>
  <w:num w:numId="6">
    <w:abstractNumId w:val="18"/>
  </w:num>
  <w:num w:numId="7">
    <w:abstractNumId w:val="12"/>
  </w:num>
  <w:num w:numId="8">
    <w:abstractNumId w:val="13"/>
  </w:num>
  <w:num w:numId="9">
    <w:abstractNumId w:val="28"/>
  </w:num>
  <w:num w:numId="10">
    <w:abstractNumId w:val="24"/>
  </w:num>
  <w:num w:numId="11">
    <w:abstractNumId w:val="5"/>
  </w:num>
  <w:num w:numId="12">
    <w:abstractNumId w:val="15"/>
  </w:num>
  <w:num w:numId="13">
    <w:abstractNumId w:val="9"/>
  </w:num>
  <w:num w:numId="14">
    <w:abstractNumId w:val="20"/>
  </w:num>
  <w:num w:numId="15">
    <w:abstractNumId w:val="22"/>
  </w:num>
  <w:num w:numId="16">
    <w:abstractNumId w:val="10"/>
  </w:num>
  <w:num w:numId="17">
    <w:abstractNumId w:val="17"/>
  </w:num>
  <w:num w:numId="18">
    <w:abstractNumId w:val="7"/>
  </w:num>
  <w:num w:numId="19">
    <w:abstractNumId w:val="16"/>
  </w:num>
  <w:num w:numId="20">
    <w:abstractNumId w:val="1"/>
  </w:num>
  <w:num w:numId="21">
    <w:abstractNumId w:val="19"/>
  </w:num>
  <w:num w:numId="22">
    <w:abstractNumId w:val="26"/>
  </w:num>
  <w:num w:numId="23">
    <w:abstractNumId w:val="11"/>
  </w:num>
  <w:num w:numId="24">
    <w:abstractNumId w:val="8"/>
  </w:num>
  <w:num w:numId="25">
    <w:abstractNumId w:val="27"/>
  </w:num>
  <w:num w:numId="26">
    <w:abstractNumId w:val="25"/>
  </w:num>
  <w:num w:numId="27">
    <w:abstractNumId w:val="3"/>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54"/>
    <w:rsid w:val="000F794A"/>
    <w:rsid w:val="003750A2"/>
    <w:rsid w:val="00406A54"/>
    <w:rsid w:val="007F1B9B"/>
    <w:rsid w:val="00E5315E"/>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F844"/>
  <w15:chartTrackingRefBased/>
  <w15:docId w15:val="{1004D70E-A2A9-40EF-B32E-529EB9D3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A54"/>
    <w:pPr>
      <w:spacing w:after="0"/>
    </w:pPr>
    <w:rPr>
      <w:rFonts w:ascii="Minion" w:hAnsi="Minion"/>
      <w:sz w:val="20"/>
    </w:rPr>
  </w:style>
  <w:style w:type="paragraph" w:styleId="Heading1">
    <w:name w:val="heading 1"/>
    <w:basedOn w:val="Normal"/>
    <w:next w:val="Normal"/>
    <w:link w:val="Heading1Char"/>
    <w:uiPriority w:val="9"/>
    <w:qFormat/>
    <w:rsid w:val="007F1B9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7F1B9B"/>
    <w:pPr>
      <w:keepNext/>
      <w:keepLines/>
      <w:spacing w:before="4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7F1B9B"/>
    <w:pPr>
      <w:keepNext/>
      <w:keepLines/>
      <w:spacing w:before="40"/>
      <w:outlineLvl w:val="2"/>
    </w:pPr>
    <w:rPr>
      <w:rFonts w:ascii="Calibri Light" w:eastAsia="DengXian Light" w:hAnsi="Calibri Light" w:cs="Times New Roman"/>
      <w:color w:val="1F4D78"/>
      <w:sz w:val="24"/>
      <w:szCs w:val="24"/>
      <w:lang w:eastAsia="zh-CN"/>
    </w:rPr>
  </w:style>
  <w:style w:type="paragraph" w:styleId="Heading6">
    <w:name w:val="heading 6"/>
    <w:basedOn w:val="Normal"/>
    <w:next w:val="BodyTextFirstIndent2"/>
    <w:link w:val="Heading6Char"/>
    <w:qFormat/>
    <w:rsid w:val="007F1B9B"/>
    <w:pPr>
      <w:widowControl w:val="0"/>
      <w:numPr>
        <w:ilvl w:val="5"/>
        <w:numId w:val="10"/>
      </w:numPr>
      <w:spacing w:after="240" w:line="240" w:lineRule="auto"/>
      <w:outlineLvl w:val="5"/>
    </w:pPr>
    <w:rPr>
      <w:rFonts w:ascii="Times New Roman" w:eastAsia="Times New Roman" w:hAnsi="Times New Roman" w:cs="Times New Roman"/>
      <w:bCs/>
      <w:sz w:val="24"/>
      <w:szCs w:val="24"/>
      <w:lang w:val="x-none" w:eastAsia="x-none"/>
    </w:rPr>
  </w:style>
  <w:style w:type="paragraph" w:styleId="Heading7">
    <w:name w:val="heading 7"/>
    <w:basedOn w:val="Normal"/>
    <w:next w:val="BodyTextFirstIndent2"/>
    <w:link w:val="Heading7Char"/>
    <w:qFormat/>
    <w:rsid w:val="007F1B9B"/>
    <w:pPr>
      <w:numPr>
        <w:ilvl w:val="6"/>
        <w:numId w:val="10"/>
      </w:numPr>
      <w:spacing w:before="240" w:after="60" w:line="240" w:lineRule="auto"/>
      <w:outlineLvl w:val="6"/>
    </w:pPr>
    <w:rPr>
      <w:rFonts w:ascii="Arial" w:eastAsia="Times New Roman" w:hAnsi="Arial" w:cs="Times New Roman"/>
      <w:szCs w:val="24"/>
      <w:lang w:val="x-none" w:eastAsia="x-none"/>
    </w:rPr>
  </w:style>
  <w:style w:type="paragraph" w:styleId="Heading8">
    <w:name w:val="heading 8"/>
    <w:basedOn w:val="Normal"/>
    <w:next w:val="BodyTextFirstIndent2"/>
    <w:link w:val="Heading8Char"/>
    <w:qFormat/>
    <w:rsid w:val="007F1B9B"/>
    <w:pPr>
      <w:numPr>
        <w:ilvl w:val="7"/>
        <w:numId w:val="10"/>
      </w:numPr>
      <w:spacing w:before="240" w:after="60" w:line="240" w:lineRule="auto"/>
      <w:outlineLvl w:val="7"/>
    </w:pPr>
    <w:rPr>
      <w:rFonts w:ascii="Arial" w:eastAsia="Times New Roman" w:hAnsi="Arial" w:cs="Times New Roman"/>
      <w:i/>
      <w:iCs/>
      <w:szCs w:val="24"/>
      <w:lang w:val="x-none" w:eastAsia="x-none"/>
    </w:rPr>
  </w:style>
  <w:style w:type="paragraph" w:styleId="Heading9">
    <w:name w:val="heading 9"/>
    <w:basedOn w:val="Normal"/>
    <w:next w:val="BodyTextFirstIndent2"/>
    <w:link w:val="Heading9Char"/>
    <w:qFormat/>
    <w:rsid w:val="007F1B9B"/>
    <w:pPr>
      <w:numPr>
        <w:ilvl w:val="8"/>
        <w:numId w:val="10"/>
      </w:numPr>
      <w:spacing w:before="240" w:after="60" w:line="240" w:lineRule="auto"/>
      <w:outlineLvl w:val="8"/>
    </w:pPr>
    <w:rPr>
      <w:rFonts w:ascii="Arial" w:eastAsia="Times New Roman" w:hAnsi="Arial" w:cs="Times New Roman"/>
      <w:b/>
      <w:i/>
      <w:sz w:val="1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406A54"/>
  </w:style>
  <w:style w:type="paragraph" w:styleId="CommentText">
    <w:name w:val="annotation text"/>
    <w:basedOn w:val="Normal"/>
    <w:link w:val="CommentTextChar"/>
    <w:uiPriority w:val="99"/>
    <w:unhideWhenUsed/>
    <w:rsid w:val="00406A54"/>
    <w:pPr>
      <w:spacing w:line="240" w:lineRule="auto"/>
    </w:pPr>
    <w:rPr>
      <w:szCs w:val="20"/>
    </w:rPr>
  </w:style>
  <w:style w:type="character" w:customStyle="1" w:styleId="CommentTextChar">
    <w:name w:val="Comment Text Char"/>
    <w:basedOn w:val="DefaultParagraphFont"/>
    <w:link w:val="CommentText"/>
    <w:uiPriority w:val="99"/>
    <w:rsid w:val="00406A54"/>
    <w:rPr>
      <w:rFonts w:ascii="Minion" w:hAnsi="Minion"/>
      <w:sz w:val="20"/>
      <w:szCs w:val="20"/>
    </w:rPr>
  </w:style>
  <w:style w:type="character" w:styleId="CommentReference">
    <w:name w:val="annotation reference"/>
    <w:basedOn w:val="DefaultParagraphFont"/>
    <w:uiPriority w:val="99"/>
    <w:unhideWhenUsed/>
    <w:rsid w:val="00406A54"/>
    <w:rPr>
      <w:sz w:val="16"/>
      <w:szCs w:val="16"/>
    </w:rPr>
  </w:style>
  <w:style w:type="character" w:customStyle="1" w:styleId="NormalWebChar">
    <w:name w:val="Normal (Web) Char"/>
    <w:basedOn w:val="DefaultParagraphFont"/>
    <w:link w:val="NormalWeb"/>
    <w:uiPriority w:val="99"/>
    <w:rsid w:val="00406A54"/>
    <w:rPr>
      <w:rFonts w:ascii="Minion" w:hAnsi="Minion"/>
      <w:sz w:val="20"/>
    </w:rPr>
  </w:style>
  <w:style w:type="paragraph" w:styleId="BodyText2">
    <w:name w:val="Body Text 2"/>
    <w:basedOn w:val="Normal"/>
    <w:link w:val="BodyText2Char"/>
    <w:rsid w:val="00406A54"/>
    <w:pPr>
      <w:pBdr>
        <w:bottom w:val="single" w:sz="4" w:space="2" w:color="auto"/>
      </w:pBdr>
      <w:tabs>
        <w:tab w:val="left" w:pos="0"/>
      </w:tabs>
      <w:spacing w:line="160" w:lineRule="exact"/>
    </w:pPr>
    <w:rPr>
      <w:rFonts w:ascii="Arial" w:eastAsia="Times New Roman" w:hAnsi="Arial" w:cs="Times New Roman"/>
      <w:snapToGrid w:val="0"/>
      <w:sz w:val="16"/>
      <w:szCs w:val="20"/>
    </w:rPr>
  </w:style>
  <w:style w:type="character" w:customStyle="1" w:styleId="BodyText2Char">
    <w:name w:val="Body Text 2 Char"/>
    <w:basedOn w:val="DefaultParagraphFont"/>
    <w:link w:val="BodyText2"/>
    <w:rsid w:val="00406A54"/>
    <w:rPr>
      <w:rFonts w:ascii="Arial" w:eastAsia="Times New Roman" w:hAnsi="Arial" w:cs="Times New Roman"/>
      <w:snapToGrid w:val="0"/>
      <w:sz w:val="16"/>
      <w:szCs w:val="20"/>
    </w:rPr>
  </w:style>
  <w:style w:type="paragraph" w:styleId="ListParagraph">
    <w:name w:val="List Paragraph"/>
    <w:basedOn w:val="Normal"/>
    <w:link w:val="ListParagraphChar"/>
    <w:uiPriority w:val="34"/>
    <w:qFormat/>
    <w:rsid w:val="00406A54"/>
    <w:pPr>
      <w:spacing w:line="240" w:lineRule="auto"/>
      <w:ind w:left="720"/>
      <w:contextualSpacing/>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06A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54"/>
    <w:rPr>
      <w:rFonts w:ascii="Segoe UI" w:hAnsi="Segoe UI" w:cs="Segoe UI"/>
      <w:sz w:val="18"/>
      <w:szCs w:val="18"/>
    </w:rPr>
  </w:style>
  <w:style w:type="character" w:customStyle="1" w:styleId="Heading1Char">
    <w:name w:val="Heading 1 Char"/>
    <w:basedOn w:val="DefaultParagraphFont"/>
    <w:link w:val="Heading1"/>
    <w:uiPriority w:val="9"/>
    <w:rsid w:val="007F1B9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7F1B9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7F1B9B"/>
    <w:rPr>
      <w:rFonts w:ascii="Calibri Light" w:eastAsia="DengXian Light" w:hAnsi="Calibri Light" w:cs="Times New Roman"/>
      <w:color w:val="1F4D78"/>
      <w:sz w:val="24"/>
      <w:szCs w:val="24"/>
      <w:lang w:eastAsia="zh-CN"/>
    </w:rPr>
  </w:style>
  <w:style w:type="character" w:customStyle="1" w:styleId="Heading6Char">
    <w:name w:val="Heading 6 Char"/>
    <w:basedOn w:val="DefaultParagraphFont"/>
    <w:link w:val="Heading6"/>
    <w:rsid w:val="007F1B9B"/>
    <w:rPr>
      <w:rFonts w:ascii="Times New Roman" w:eastAsia="Times New Roman" w:hAnsi="Times New Roman" w:cs="Times New Roman"/>
      <w:bCs/>
      <w:sz w:val="24"/>
      <w:szCs w:val="24"/>
      <w:lang w:val="x-none" w:eastAsia="x-none"/>
    </w:rPr>
  </w:style>
  <w:style w:type="character" w:customStyle="1" w:styleId="Heading7Char">
    <w:name w:val="Heading 7 Char"/>
    <w:basedOn w:val="DefaultParagraphFont"/>
    <w:link w:val="Heading7"/>
    <w:rsid w:val="007F1B9B"/>
    <w:rPr>
      <w:rFonts w:ascii="Arial" w:eastAsia="Times New Roman" w:hAnsi="Arial" w:cs="Times New Roman"/>
      <w:sz w:val="20"/>
      <w:szCs w:val="24"/>
      <w:lang w:val="x-none" w:eastAsia="x-none"/>
    </w:rPr>
  </w:style>
  <w:style w:type="character" w:customStyle="1" w:styleId="Heading8Char">
    <w:name w:val="Heading 8 Char"/>
    <w:basedOn w:val="DefaultParagraphFont"/>
    <w:link w:val="Heading8"/>
    <w:rsid w:val="007F1B9B"/>
    <w:rPr>
      <w:rFonts w:ascii="Arial" w:eastAsia="Times New Roman" w:hAnsi="Arial" w:cs="Times New Roman"/>
      <w:i/>
      <w:iCs/>
      <w:sz w:val="20"/>
      <w:szCs w:val="24"/>
      <w:lang w:val="x-none" w:eastAsia="x-none"/>
    </w:rPr>
  </w:style>
  <w:style w:type="character" w:customStyle="1" w:styleId="Heading9Char">
    <w:name w:val="Heading 9 Char"/>
    <w:basedOn w:val="DefaultParagraphFont"/>
    <w:link w:val="Heading9"/>
    <w:rsid w:val="007F1B9B"/>
    <w:rPr>
      <w:rFonts w:ascii="Arial" w:eastAsia="Times New Roman" w:hAnsi="Arial" w:cs="Times New Roman"/>
      <w:b/>
      <w:i/>
      <w:sz w:val="18"/>
      <w:szCs w:val="24"/>
      <w:lang w:val="x-none" w:eastAsia="x-none"/>
    </w:rPr>
  </w:style>
  <w:style w:type="paragraph" w:styleId="Header">
    <w:name w:val="header"/>
    <w:aliases w:val="index,h,Header/Footer,Cover Page,he,header odd,header,Hyphen,Alt Header,ho,*Header,Diagnostic Header,header entry,HE"/>
    <w:basedOn w:val="Normal"/>
    <w:link w:val="HeaderChar"/>
    <w:uiPriority w:val="99"/>
    <w:unhideWhenUsed/>
    <w:rsid w:val="007F1B9B"/>
    <w:pPr>
      <w:tabs>
        <w:tab w:val="center" w:pos="4680"/>
        <w:tab w:val="right" w:pos="9360"/>
      </w:tabs>
      <w:spacing w:line="240" w:lineRule="auto"/>
    </w:pPr>
    <w:rPr>
      <w:rFonts w:ascii="Times New Roman" w:eastAsia="Times New Roman" w:hAnsi="Times New Roman" w:cs="Times New Roman"/>
      <w:szCs w:val="20"/>
      <w:lang w:eastAsia="zh-TW"/>
    </w:rPr>
  </w:style>
  <w:style w:type="character" w:customStyle="1" w:styleId="HeaderChar">
    <w:name w:val="Header Char"/>
    <w:aliases w:val="index Char,h Char,Header/Footer Char,Cover Page Char,he Char,header odd Char,header Char,Hyphen Char,Alt Header Char,ho Char,*Header Char,Diagnostic Header Char,header entry Char,HE Char"/>
    <w:basedOn w:val="DefaultParagraphFont"/>
    <w:link w:val="Header"/>
    <w:uiPriority w:val="99"/>
    <w:rsid w:val="007F1B9B"/>
    <w:rPr>
      <w:rFonts w:ascii="Times New Roman" w:eastAsia="Times New Roman" w:hAnsi="Times New Roman" w:cs="Times New Roman"/>
      <w:sz w:val="20"/>
      <w:szCs w:val="20"/>
      <w:lang w:eastAsia="zh-TW"/>
    </w:rPr>
  </w:style>
  <w:style w:type="paragraph" w:styleId="Footer">
    <w:name w:val="footer"/>
    <w:basedOn w:val="Normal"/>
    <w:link w:val="FooterChar"/>
    <w:uiPriority w:val="99"/>
    <w:unhideWhenUsed/>
    <w:rsid w:val="007F1B9B"/>
    <w:pPr>
      <w:tabs>
        <w:tab w:val="center" w:pos="4680"/>
        <w:tab w:val="right" w:pos="9360"/>
      </w:tabs>
      <w:spacing w:line="240" w:lineRule="auto"/>
    </w:pPr>
    <w:rPr>
      <w:rFonts w:ascii="Times New Roman" w:eastAsia="Times New Roman" w:hAnsi="Times New Roman" w:cs="Times New Roman"/>
      <w:szCs w:val="20"/>
      <w:lang w:eastAsia="zh-TW"/>
    </w:rPr>
  </w:style>
  <w:style w:type="character" w:customStyle="1" w:styleId="FooterChar">
    <w:name w:val="Footer Char"/>
    <w:basedOn w:val="DefaultParagraphFont"/>
    <w:link w:val="Footer"/>
    <w:uiPriority w:val="99"/>
    <w:rsid w:val="007F1B9B"/>
    <w:rPr>
      <w:rFonts w:ascii="Times New Roman" w:eastAsia="Times New Roman" w:hAnsi="Times New Roman" w:cs="Times New Roman"/>
      <w:sz w:val="20"/>
      <w:szCs w:val="20"/>
      <w:lang w:eastAsia="zh-TW"/>
    </w:rPr>
  </w:style>
  <w:style w:type="character" w:customStyle="1" w:styleId="apple-converted-space">
    <w:name w:val="apple-converted-space"/>
    <w:rsid w:val="007F1B9B"/>
  </w:style>
  <w:style w:type="paragraph" w:styleId="CommentSubject">
    <w:name w:val="annotation subject"/>
    <w:basedOn w:val="CommentText"/>
    <w:next w:val="CommentText"/>
    <w:link w:val="CommentSubjectChar"/>
    <w:uiPriority w:val="99"/>
    <w:semiHidden/>
    <w:unhideWhenUsed/>
    <w:rsid w:val="007F1B9B"/>
    <w:rPr>
      <w:rFonts w:ascii="Times New Roman" w:eastAsia="Times New Roman" w:hAnsi="Times New Roman" w:cs="Times New Roman"/>
      <w:b/>
      <w:bCs/>
      <w:lang w:eastAsia="zh-TW"/>
    </w:rPr>
  </w:style>
  <w:style w:type="character" w:customStyle="1" w:styleId="CommentSubjectChar">
    <w:name w:val="Comment Subject Char"/>
    <w:basedOn w:val="CommentTextChar"/>
    <w:link w:val="CommentSubject"/>
    <w:uiPriority w:val="99"/>
    <w:semiHidden/>
    <w:rsid w:val="007F1B9B"/>
    <w:rPr>
      <w:rFonts w:ascii="Times New Roman" w:eastAsia="Times New Roman" w:hAnsi="Times New Roman" w:cs="Times New Roman"/>
      <w:b/>
      <w:bCs/>
      <w:sz w:val="20"/>
      <w:szCs w:val="20"/>
      <w:lang w:eastAsia="zh-TW"/>
    </w:rPr>
  </w:style>
  <w:style w:type="paragraph" w:customStyle="1" w:styleId="TVH1">
    <w:name w:val="TV H1"/>
    <w:basedOn w:val="Normal"/>
    <w:qFormat/>
    <w:rsid w:val="007F1B9B"/>
    <w:pPr>
      <w:numPr>
        <w:numId w:val="4"/>
      </w:numPr>
      <w:tabs>
        <w:tab w:val="left" w:pos="288"/>
      </w:tabs>
      <w:spacing w:after="120" w:line="240" w:lineRule="auto"/>
      <w:jc w:val="both"/>
    </w:pPr>
    <w:rPr>
      <w:rFonts w:ascii="Arial Narrow" w:eastAsia="Times New Roman" w:hAnsi="Arial Narrow" w:cs="Times New Roman"/>
      <w:sz w:val="24"/>
      <w:szCs w:val="24"/>
      <w:u w:val="single"/>
    </w:rPr>
  </w:style>
  <w:style w:type="paragraph" w:customStyle="1" w:styleId="TVH2">
    <w:name w:val="TV H2"/>
    <w:basedOn w:val="Normal"/>
    <w:qFormat/>
    <w:rsid w:val="007F1B9B"/>
    <w:pPr>
      <w:numPr>
        <w:ilvl w:val="1"/>
        <w:numId w:val="4"/>
      </w:numPr>
      <w:tabs>
        <w:tab w:val="left" w:pos="288"/>
      </w:tabs>
      <w:spacing w:after="120" w:line="240" w:lineRule="auto"/>
      <w:jc w:val="both"/>
    </w:pPr>
    <w:rPr>
      <w:rFonts w:ascii="Arial Narrow" w:eastAsia="Times New Roman" w:hAnsi="Arial Narrow" w:cs="Times New Roman"/>
      <w:sz w:val="24"/>
      <w:szCs w:val="24"/>
    </w:rPr>
  </w:style>
  <w:style w:type="character" w:customStyle="1" w:styleId="ListParagraphChar">
    <w:name w:val="List Paragraph Char"/>
    <w:link w:val="ListParagraph"/>
    <w:uiPriority w:val="34"/>
    <w:rsid w:val="007F1B9B"/>
    <w:rPr>
      <w:rFonts w:ascii="Times New Roman" w:eastAsia="Times New Roman" w:hAnsi="Times New Roman" w:cs="Times New Roman"/>
      <w:sz w:val="20"/>
      <w:szCs w:val="20"/>
    </w:rPr>
  </w:style>
  <w:style w:type="table" w:styleId="TableGrid">
    <w:name w:val="Table Grid"/>
    <w:basedOn w:val="TableNormal"/>
    <w:uiPriority w:val="39"/>
    <w:rsid w:val="007F1B9B"/>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autoRedefine/>
    <w:qFormat/>
    <w:rsid w:val="007F1B9B"/>
    <w:pPr>
      <w:spacing w:line="240" w:lineRule="auto"/>
    </w:pPr>
    <w:rPr>
      <w:rFonts w:eastAsia="Calibri" w:cs="Times New Roman"/>
      <w:sz w:val="2"/>
    </w:rPr>
  </w:style>
  <w:style w:type="character" w:customStyle="1" w:styleId="m-5315275750770512839gmail-msocommentreference">
    <w:name w:val="m_-5315275750770512839gmail-msocommentreference"/>
    <w:rsid w:val="007F1B9B"/>
  </w:style>
  <w:style w:type="character" w:styleId="Hyperlink">
    <w:name w:val="Hyperlink"/>
    <w:uiPriority w:val="99"/>
    <w:unhideWhenUsed/>
    <w:rsid w:val="007F1B9B"/>
    <w:rPr>
      <w:color w:val="0000FF"/>
      <w:u w:val="single"/>
    </w:rPr>
  </w:style>
  <w:style w:type="paragraph" w:styleId="BodyText">
    <w:name w:val="Body Text"/>
    <w:basedOn w:val="Normal"/>
    <w:link w:val="BodyTextChar"/>
    <w:semiHidden/>
    <w:rsid w:val="007F1B9B"/>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7F1B9B"/>
    <w:rPr>
      <w:rFonts w:ascii="Times New Roman" w:eastAsia="Times New Roman" w:hAnsi="Times New Roman" w:cs="Times New Roman"/>
      <w:sz w:val="20"/>
      <w:szCs w:val="24"/>
    </w:rPr>
  </w:style>
  <w:style w:type="paragraph" w:styleId="BodyText3">
    <w:name w:val="Body Text 3"/>
    <w:basedOn w:val="Normal"/>
    <w:link w:val="BodyText3Char"/>
    <w:semiHidden/>
    <w:rsid w:val="007F1B9B"/>
    <w:pPr>
      <w:tabs>
        <w:tab w:val="left" w:pos="-360"/>
      </w:tabs>
      <w:spacing w:line="240" w:lineRule="auto"/>
      <w:ind w:right="36"/>
      <w:jc w:val="both"/>
    </w:pPr>
    <w:rPr>
      <w:rFonts w:ascii="Arial Narrow" w:eastAsia="Times New Roman" w:hAnsi="Arial Narrow" w:cs="Arial"/>
      <w:sz w:val="14"/>
      <w:szCs w:val="24"/>
    </w:rPr>
  </w:style>
  <w:style w:type="character" w:customStyle="1" w:styleId="BodyText3Char">
    <w:name w:val="Body Text 3 Char"/>
    <w:basedOn w:val="DefaultParagraphFont"/>
    <w:link w:val="BodyText3"/>
    <w:semiHidden/>
    <w:rsid w:val="007F1B9B"/>
    <w:rPr>
      <w:rFonts w:ascii="Arial Narrow" w:eastAsia="Times New Roman" w:hAnsi="Arial Narrow" w:cs="Arial"/>
      <w:sz w:val="14"/>
      <w:szCs w:val="24"/>
    </w:rPr>
  </w:style>
  <w:style w:type="character" w:customStyle="1" w:styleId="DocID">
    <w:name w:val="DocID"/>
    <w:rsid w:val="007F1B9B"/>
    <w:rPr>
      <w:rFonts w:ascii="Times New Roman" w:hAnsi="Times New Roman" w:cs="Times New Roman"/>
      <w:b w:val="0"/>
      <w:bCs/>
      <w:i w:val="0"/>
      <w:vanish w:val="0"/>
      <w:color w:val="000000"/>
      <w:sz w:val="14"/>
      <w:szCs w:val="12"/>
      <w:u w:val="none"/>
      <w:lang w:val="en-GB"/>
    </w:rPr>
  </w:style>
  <w:style w:type="paragraph" w:styleId="FootnoteText">
    <w:name w:val="footnote text"/>
    <w:basedOn w:val="Normal"/>
    <w:link w:val="FootnoteTextChar"/>
    <w:uiPriority w:val="99"/>
    <w:semiHidden/>
    <w:unhideWhenUsed/>
    <w:rsid w:val="007F1B9B"/>
    <w:pPr>
      <w:spacing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7F1B9B"/>
    <w:rPr>
      <w:rFonts w:ascii="Times New Roman" w:eastAsia="Times New Roman" w:hAnsi="Times New Roman" w:cs="Times New Roman"/>
      <w:sz w:val="20"/>
      <w:szCs w:val="20"/>
    </w:rPr>
  </w:style>
  <w:style w:type="character" w:styleId="FootnoteReference">
    <w:name w:val="footnote reference"/>
    <w:uiPriority w:val="99"/>
    <w:semiHidden/>
    <w:unhideWhenUsed/>
    <w:rsid w:val="007F1B9B"/>
    <w:rPr>
      <w:bdr w:val="none" w:sz="0" w:space="0" w:color="auto"/>
      <w:shd w:val="clear" w:color="auto" w:fill="FFFF00"/>
      <w:vertAlign w:val="superscript"/>
    </w:rPr>
  </w:style>
  <w:style w:type="paragraph" w:customStyle="1" w:styleId="GHX1">
    <w:name w:val="GHX 1"/>
    <w:basedOn w:val="Normal"/>
    <w:qFormat/>
    <w:rsid w:val="007F1B9B"/>
    <w:pPr>
      <w:keepNext/>
      <w:numPr>
        <w:numId w:val="10"/>
      </w:numPr>
      <w:spacing w:after="240" w:line="240" w:lineRule="auto"/>
      <w:jc w:val="both"/>
      <w:outlineLvl w:val="0"/>
    </w:pPr>
    <w:rPr>
      <w:rFonts w:ascii="Times New Roman" w:eastAsia="Times New Roman" w:hAnsi="Times New Roman" w:cs="Times New Roman"/>
      <w:b/>
      <w:sz w:val="24"/>
      <w:szCs w:val="20"/>
    </w:rPr>
  </w:style>
  <w:style w:type="paragraph" w:customStyle="1" w:styleId="GHX2">
    <w:name w:val="GHX 2"/>
    <w:basedOn w:val="Normal"/>
    <w:qFormat/>
    <w:rsid w:val="007F1B9B"/>
    <w:pPr>
      <w:numPr>
        <w:ilvl w:val="1"/>
        <w:numId w:val="10"/>
      </w:numPr>
      <w:spacing w:after="240" w:line="240" w:lineRule="auto"/>
      <w:jc w:val="both"/>
      <w:outlineLvl w:val="1"/>
    </w:pPr>
    <w:rPr>
      <w:rFonts w:ascii="Times New Roman" w:eastAsia="Times New Roman" w:hAnsi="Times New Roman" w:cs="Times New Roman"/>
      <w:sz w:val="24"/>
      <w:szCs w:val="20"/>
    </w:rPr>
  </w:style>
  <w:style w:type="paragraph" w:customStyle="1" w:styleId="GHX3">
    <w:name w:val="GHX 3"/>
    <w:basedOn w:val="Normal"/>
    <w:qFormat/>
    <w:rsid w:val="007F1B9B"/>
    <w:pPr>
      <w:numPr>
        <w:ilvl w:val="2"/>
        <w:numId w:val="10"/>
      </w:numPr>
      <w:spacing w:after="240" w:line="240" w:lineRule="auto"/>
      <w:jc w:val="both"/>
      <w:outlineLvl w:val="2"/>
    </w:pPr>
    <w:rPr>
      <w:rFonts w:ascii="Times New Roman" w:eastAsia="Times New Roman" w:hAnsi="Times New Roman" w:cs="Times New Roman"/>
      <w:sz w:val="24"/>
      <w:szCs w:val="20"/>
    </w:rPr>
  </w:style>
  <w:style w:type="paragraph" w:customStyle="1" w:styleId="GHX4">
    <w:name w:val="GHX 4"/>
    <w:basedOn w:val="Normal"/>
    <w:qFormat/>
    <w:rsid w:val="007F1B9B"/>
    <w:pPr>
      <w:numPr>
        <w:ilvl w:val="3"/>
        <w:numId w:val="10"/>
      </w:numPr>
      <w:spacing w:after="240" w:line="240" w:lineRule="auto"/>
      <w:jc w:val="both"/>
      <w:outlineLvl w:val="3"/>
    </w:pPr>
    <w:rPr>
      <w:rFonts w:ascii="Times New Roman" w:eastAsia="Times New Roman" w:hAnsi="Times New Roman" w:cs="Times New Roman"/>
      <w:sz w:val="24"/>
      <w:szCs w:val="20"/>
    </w:rPr>
  </w:style>
  <w:style w:type="paragraph" w:customStyle="1" w:styleId="GHX5">
    <w:name w:val="GHX 5"/>
    <w:basedOn w:val="Normal"/>
    <w:qFormat/>
    <w:rsid w:val="007F1B9B"/>
    <w:pPr>
      <w:numPr>
        <w:ilvl w:val="4"/>
        <w:numId w:val="10"/>
      </w:numPr>
      <w:spacing w:after="240" w:line="240" w:lineRule="auto"/>
      <w:jc w:val="both"/>
      <w:outlineLvl w:val="4"/>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7F1B9B"/>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7F1B9B"/>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uiPriority w:val="99"/>
    <w:semiHidden/>
    <w:unhideWhenUsed/>
    <w:rsid w:val="007F1B9B"/>
    <w:pPr>
      <w:ind w:firstLine="210"/>
    </w:pPr>
  </w:style>
  <w:style w:type="character" w:customStyle="1" w:styleId="BodyTextFirstIndent2Char">
    <w:name w:val="Body Text First Indent 2 Char"/>
    <w:basedOn w:val="BodyTextIndentChar"/>
    <w:link w:val="BodyTextFirstIndent2"/>
    <w:uiPriority w:val="99"/>
    <w:semiHidden/>
    <w:rsid w:val="007F1B9B"/>
    <w:rPr>
      <w:rFonts w:ascii="Times New Roman" w:eastAsia="Times New Roman" w:hAnsi="Times New Roman" w:cs="Times New Roman"/>
      <w:sz w:val="24"/>
      <w:szCs w:val="24"/>
      <w:lang w:val="x-none" w:eastAsia="x-none"/>
    </w:rPr>
  </w:style>
  <w:style w:type="character" w:customStyle="1" w:styleId="StyleHeading2Style29h2JAINHEADING2Majorh21Major1h22Maj1Char">
    <w:name w:val="Style Heading 2Style 29h2JAIN HEADING 2Majorh21Major1h22Maj...1 Char"/>
    <w:rsid w:val="007F1B9B"/>
    <w:rPr>
      <w:sz w:val="24"/>
      <w:szCs w:val="24"/>
      <w:lang w:val="en-US" w:eastAsia="en-US" w:bidi="ar-SA"/>
    </w:rPr>
  </w:style>
  <w:style w:type="character" w:styleId="PlaceholderText">
    <w:name w:val="Placeholder Text"/>
    <w:uiPriority w:val="99"/>
    <w:semiHidden/>
    <w:rsid w:val="007F1B9B"/>
    <w:rPr>
      <w:color w:val="808080"/>
    </w:rPr>
  </w:style>
  <w:style w:type="paragraph" w:customStyle="1" w:styleId="msonormal0">
    <w:name w:val="msonormal"/>
    <w:basedOn w:val="Normal"/>
    <w:uiPriority w:val="99"/>
    <w:rsid w:val="007F1B9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Spacing">
    <w:name w:val="No Spacing"/>
    <w:uiPriority w:val="1"/>
    <w:qFormat/>
    <w:rsid w:val="007F1B9B"/>
    <w:pPr>
      <w:spacing w:after="0" w:line="240" w:lineRule="auto"/>
    </w:pPr>
    <w:rPr>
      <w:rFonts w:ascii="Swiss Roman 11pt" w:eastAsia="Times New Roman" w:hAnsi="Swiss Roman 11pt" w:cs="Angsana New"/>
      <w:szCs w:val="28"/>
      <w:lang w:val="de-DE" w:bidi="th-TH"/>
    </w:rPr>
  </w:style>
  <w:style w:type="paragraph" w:styleId="Revision">
    <w:name w:val="Revision"/>
    <w:hidden/>
    <w:uiPriority w:val="99"/>
    <w:semiHidden/>
    <w:rsid w:val="007F1B9B"/>
    <w:pPr>
      <w:spacing w:after="0" w:line="240" w:lineRule="auto"/>
    </w:pPr>
    <w:rPr>
      <w:rFonts w:ascii="Times New Roman" w:eastAsia="Times New Roman" w:hAnsi="Times New Roman" w:cs="Times New Roman"/>
      <w:sz w:val="24"/>
      <w:szCs w:val="24"/>
    </w:rPr>
  </w:style>
  <w:style w:type="paragraph" w:customStyle="1" w:styleId="Legal2L1">
    <w:name w:val="Legal2_L1"/>
    <w:basedOn w:val="Normal"/>
    <w:rsid w:val="007F1B9B"/>
    <w:pPr>
      <w:keepNext/>
      <w:numPr>
        <w:numId w:val="28"/>
      </w:numPr>
      <w:spacing w:after="240" w:line="240" w:lineRule="auto"/>
      <w:outlineLvl w:val="0"/>
    </w:pPr>
    <w:rPr>
      <w:rFonts w:ascii="Times New Roman" w:eastAsia="Times New Roman" w:hAnsi="Times New Roman" w:cs="Times New Roman"/>
      <w:sz w:val="22"/>
      <w:szCs w:val="20"/>
    </w:rPr>
  </w:style>
  <w:style w:type="paragraph" w:customStyle="1" w:styleId="Legal2L2">
    <w:name w:val="Legal2_L2"/>
    <w:basedOn w:val="Legal2L1"/>
    <w:rsid w:val="007F1B9B"/>
    <w:pPr>
      <w:keepNext w:val="0"/>
      <w:numPr>
        <w:ilvl w:val="1"/>
      </w:numPr>
      <w:outlineLvl w:val="1"/>
    </w:pPr>
  </w:style>
  <w:style w:type="paragraph" w:customStyle="1" w:styleId="Legal2L3">
    <w:name w:val="Legal2_L3"/>
    <w:basedOn w:val="Legal2L2"/>
    <w:rsid w:val="007F1B9B"/>
    <w:pPr>
      <w:numPr>
        <w:ilvl w:val="2"/>
      </w:numPr>
      <w:outlineLvl w:val="2"/>
    </w:pPr>
  </w:style>
  <w:style w:type="paragraph" w:customStyle="1" w:styleId="Legal2L4">
    <w:name w:val="Legal2_L4"/>
    <w:basedOn w:val="Legal2L3"/>
    <w:rsid w:val="007F1B9B"/>
    <w:pPr>
      <w:numPr>
        <w:ilvl w:val="3"/>
      </w:numPr>
      <w:outlineLvl w:val="3"/>
    </w:pPr>
  </w:style>
  <w:style w:type="paragraph" w:customStyle="1" w:styleId="Legal2L5">
    <w:name w:val="Legal2_L5"/>
    <w:basedOn w:val="Legal2L4"/>
    <w:rsid w:val="007F1B9B"/>
    <w:pPr>
      <w:numPr>
        <w:ilvl w:val="4"/>
      </w:numPr>
      <w:outlineLvl w:val="4"/>
    </w:pPr>
  </w:style>
  <w:style w:type="paragraph" w:customStyle="1" w:styleId="Legal2L6">
    <w:name w:val="Legal2_L6"/>
    <w:basedOn w:val="Legal2L5"/>
    <w:rsid w:val="007F1B9B"/>
    <w:pPr>
      <w:numPr>
        <w:ilvl w:val="5"/>
      </w:numPr>
      <w:outlineLvl w:val="5"/>
    </w:pPr>
  </w:style>
  <w:style w:type="paragraph" w:customStyle="1" w:styleId="Legal2L7">
    <w:name w:val="Legal2_L7"/>
    <w:basedOn w:val="Legal2L6"/>
    <w:rsid w:val="007F1B9B"/>
    <w:pPr>
      <w:numPr>
        <w:ilvl w:val="6"/>
      </w:numPr>
      <w:outlineLvl w:val="6"/>
    </w:pPr>
  </w:style>
  <w:style w:type="paragraph" w:customStyle="1" w:styleId="Legal2L8">
    <w:name w:val="Legal2_L8"/>
    <w:basedOn w:val="Legal2L7"/>
    <w:rsid w:val="007F1B9B"/>
    <w:pPr>
      <w:numPr>
        <w:ilvl w:val="7"/>
      </w:numPr>
      <w:outlineLvl w:val="7"/>
    </w:pPr>
  </w:style>
  <w:style w:type="paragraph" w:customStyle="1" w:styleId="Legal2L9">
    <w:name w:val="Legal2_L9"/>
    <w:basedOn w:val="Legal2L8"/>
    <w:rsid w:val="007F1B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Grant {DNLA~Indianapolis}</dc:creator>
  <cp:keywords/>
  <dc:description/>
  <cp:lastModifiedBy>McCoy, Grant {DNLA~Indianapolis}</cp:lastModifiedBy>
  <cp:revision>3</cp:revision>
  <dcterms:created xsi:type="dcterms:W3CDTF">2020-03-31T14:05:00Z</dcterms:created>
  <dcterms:modified xsi:type="dcterms:W3CDTF">2020-03-31T14:05:00Z</dcterms:modified>
</cp:coreProperties>
</file>